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5066F1" w14:paraId="5BD825E2" w14:textId="77777777" w:rsidTr="00F94139">
        <w:trPr>
          <w:gridAfter w:val="1"/>
          <w:wAfter w:w="4050" w:type="dxa"/>
        </w:trPr>
        <w:tc>
          <w:tcPr>
            <w:tcW w:w="4627" w:type="dxa"/>
          </w:tcPr>
          <w:p w14:paraId="568F44A6" w14:textId="77777777" w:rsidR="00223F02" w:rsidRPr="005066F1" w:rsidRDefault="008C38E0" w:rsidP="00223F02">
            <w:pPr>
              <w:tabs>
                <w:tab w:val="left" w:pos="340"/>
                <w:tab w:val="left" w:pos="1013"/>
              </w:tabs>
            </w:pPr>
            <w:r w:rsidRPr="005066F1">
              <w:rPr>
                <w:noProof/>
              </w:rPr>
              <w:drawing>
                <wp:anchor distT="0" distB="0" distL="114300" distR="114300" simplePos="0" relativeHeight="251658240" behindDoc="0" locked="1" layoutInCell="1" allowOverlap="0" wp14:anchorId="39B3E9E0" wp14:editId="461FFBAF">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51496B4C" w14:textId="77777777" w:rsidR="003923F7" w:rsidRPr="005066F1" w:rsidRDefault="003923F7" w:rsidP="00A81FDC"/>
        </w:tc>
        <w:tc>
          <w:tcPr>
            <w:tcW w:w="2175" w:type="dxa"/>
            <w:gridSpan w:val="3"/>
          </w:tcPr>
          <w:p w14:paraId="08A61808" w14:textId="77777777" w:rsidR="003923F7" w:rsidRPr="005066F1" w:rsidRDefault="003923F7" w:rsidP="00A81FDC">
            <w:pPr>
              <w:rPr>
                <w:sz w:val="14"/>
                <w:szCs w:val="14"/>
              </w:rPr>
            </w:pPr>
            <w:r w:rsidRPr="005066F1">
              <w:rPr>
                <w:sz w:val="14"/>
                <w:szCs w:val="14"/>
              </w:rPr>
              <w:t>Vår dato:</w:t>
            </w:r>
          </w:p>
        </w:tc>
        <w:tc>
          <w:tcPr>
            <w:tcW w:w="227" w:type="dxa"/>
          </w:tcPr>
          <w:p w14:paraId="66F4A114" w14:textId="77777777" w:rsidR="003923F7" w:rsidRPr="005066F1" w:rsidRDefault="003923F7" w:rsidP="00A81FDC">
            <w:pPr>
              <w:rPr>
                <w:sz w:val="14"/>
                <w:szCs w:val="14"/>
              </w:rPr>
            </w:pPr>
          </w:p>
        </w:tc>
        <w:tc>
          <w:tcPr>
            <w:tcW w:w="2129" w:type="dxa"/>
          </w:tcPr>
          <w:p w14:paraId="51D4629E" w14:textId="77777777" w:rsidR="003923F7" w:rsidRPr="005066F1" w:rsidRDefault="003923F7" w:rsidP="00A81FDC">
            <w:pPr>
              <w:rPr>
                <w:sz w:val="14"/>
                <w:szCs w:val="14"/>
              </w:rPr>
            </w:pPr>
            <w:r w:rsidRPr="005066F1">
              <w:rPr>
                <w:sz w:val="14"/>
                <w:szCs w:val="14"/>
              </w:rPr>
              <w:t xml:space="preserve">Vår </w:t>
            </w:r>
            <w:proofErr w:type="spellStart"/>
            <w:r w:rsidRPr="005066F1">
              <w:rPr>
                <w:sz w:val="14"/>
                <w:szCs w:val="14"/>
              </w:rPr>
              <w:t>ref</w:t>
            </w:r>
            <w:proofErr w:type="spellEnd"/>
            <w:r w:rsidRPr="005066F1">
              <w:rPr>
                <w:sz w:val="14"/>
                <w:szCs w:val="14"/>
              </w:rPr>
              <w:t>:</w:t>
            </w:r>
          </w:p>
        </w:tc>
      </w:tr>
      <w:tr w:rsidR="003923F7" w:rsidRPr="005066F1" w14:paraId="6EA760C7" w14:textId="77777777" w:rsidTr="00F94139">
        <w:trPr>
          <w:gridAfter w:val="1"/>
          <w:wAfter w:w="4050" w:type="dxa"/>
        </w:trPr>
        <w:tc>
          <w:tcPr>
            <w:tcW w:w="4627" w:type="dxa"/>
          </w:tcPr>
          <w:p w14:paraId="0E322AD1" w14:textId="77777777" w:rsidR="003923F7" w:rsidRPr="005066F1" w:rsidRDefault="003923F7" w:rsidP="00A81FDC"/>
        </w:tc>
        <w:tc>
          <w:tcPr>
            <w:tcW w:w="193" w:type="dxa"/>
          </w:tcPr>
          <w:p w14:paraId="35A153FE" w14:textId="77777777" w:rsidR="003923F7" w:rsidRPr="005066F1" w:rsidRDefault="003923F7" w:rsidP="00A81FDC"/>
        </w:tc>
        <w:tc>
          <w:tcPr>
            <w:tcW w:w="2175" w:type="dxa"/>
            <w:gridSpan w:val="3"/>
          </w:tcPr>
          <w:p w14:paraId="091FF65E" w14:textId="34C0A50D" w:rsidR="003923F7" w:rsidRPr="005066F1" w:rsidRDefault="00D56068" w:rsidP="00A81FDC">
            <w:bookmarkStart w:id="0" w:name="BREVDATO"/>
            <w:r>
              <w:t>18.10.2021</w:t>
            </w:r>
            <w:bookmarkEnd w:id="0"/>
          </w:p>
        </w:tc>
        <w:tc>
          <w:tcPr>
            <w:tcW w:w="227" w:type="dxa"/>
          </w:tcPr>
          <w:p w14:paraId="2A3B2561" w14:textId="77777777" w:rsidR="003923F7" w:rsidRPr="005066F1" w:rsidRDefault="003923F7" w:rsidP="00A81FDC"/>
        </w:tc>
        <w:tc>
          <w:tcPr>
            <w:tcW w:w="2129" w:type="dxa"/>
          </w:tcPr>
          <w:p w14:paraId="3A15BAAD" w14:textId="2CA8EDD8" w:rsidR="003923F7" w:rsidRPr="005066F1" w:rsidRDefault="00D56068" w:rsidP="00A81FDC">
            <w:bookmarkStart w:id="1" w:name="SAKSNR"/>
            <w:r>
              <w:t>2021/10938</w:t>
            </w:r>
            <w:bookmarkEnd w:id="1"/>
          </w:p>
        </w:tc>
      </w:tr>
      <w:tr w:rsidR="008C38E0" w:rsidRPr="005066F1" w14:paraId="3FAF50B9" w14:textId="77777777" w:rsidTr="00F94139">
        <w:trPr>
          <w:gridAfter w:val="1"/>
          <w:wAfter w:w="4050" w:type="dxa"/>
        </w:trPr>
        <w:tc>
          <w:tcPr>
            <w:tcW w:w="4627" w:type="dxa"/>
          </w:tcPr>
          <w:p w14:paraId="26389BA5" w14:textId="77777777" w:rsidR="008C38E0" w:rsidRPr="005066F1" w:rsidRDefault="008C38E0" w:rsidP="00A81FDC"/>
        </w:tc>
        <w:tc>
          <w:tcPr>
            <w:tcW w:w="193" w:type="dxa"/>
          </w:tcPr>
          <w:p w14:paraId="64B7CB67" w14:textId="77777777" w:rsidR="008C38E0" w:rsidRPr="005066F1" w:rsidRDefault="008C38E0" w:rsidP="00A81FDC"/>
        </w:tc>
        <w:tc>
          <w:tcPr>
            <w:tcW w:w="2175" w:type="dxa"/>
            <w:gridSpan w:val="3"/>
          </w:tcPr>
          <w:p w14:paraId="7A030CAD" w14:textId="77777777" w:rsidR="008C38E0" w:rsidRPr="005066F1" w:rsidRDefault="008C38E0" w:rsidP="00A81FDC">
            <w:pPr>
              <w:rPr>
                <w:sz w:val="14"/>
                <w:szCs w:val="14"/>
              </w:rPr>
            </w:pPr>
          </w:p>
        </w:tc>
        <w:tc>
          <w:tcPr>
            <w:tcW w:w="227" w:type="dxa"/>
          </w:tcPr>
          <w:p w14:paraId="620A3604" w14:textId="77777777" w:rsidR="008C38E0" w:rsidRPr="005066F1" w:rsidRDefault="008C38E0" w:rsidP="00A81FDC">
            <w:pPr>
              <w:rPr>
                <w:sz w:val="14"/>
                <w:szCs w:val="14"/>
              </w:rPr>
            </w:pPr>
          </w:p>
        </w:tc>
        <w:tc>
          <w:tcPr>
            <w:tcW w:w="2129" w:type="dxa"/>
          </w:tcPr>
          <w:p w14:paraId="3CC72A52" w14:textId="77777777" w:rsidR="008C38E0" w:rsidRPr="005066F1" w:rsidRDefault="008C38E0" w:rsidP="00A81FDC">
            <w:pPr>
              <w:rPr>
                <w:sz w:val="14"/>
                <w:szCs w:val="14"/>
              </w:rPr>
            </w:pPr>
          </w:p>
        </w:tc>
      </w:tr>
      <w:tr w:rsidR="003923F7" w:rsidRPr="005066F1" w14:paraId="5B8E59E0" w14:textId="77777777" w:rsidTr="00F94139">
        <w:trPr>
          <w:gridAfter w:val="1"/>
          <w:wAfter w:w="4050" w:type="dxa"/>
        </w:trPr>
        <w:tc>
          <w:tcPr>
            <w:tcW w:w="4627" w:type="dxa"/>
          </w:tcPr>
          <w:p w14:paraId="43B8A73E" w14:textId="77777777" w:rsidR="003923F7" w:rsidRPr="005066F1" w:rsidRDefault="003923F7" w:rsidP="00A81FDC"/>
        </w:tc>
        <w:tc>
          <w:tcPr>
            <w:tcW w:w="193" w:type="dxa"/>
          </w:tcPr>
          <w:p w14:paraId="1DF4CDCB" w14:textId="77777777" w:rsidR="003923F7" w:rsidRPr="005066F1" w:rsidRDefault="003923F7" w:rsidP="00A81FDC"/>
        </w:tc>
        <w:tc>
          <w:tcPr>
            <w:tcW w:w="2175" w:type="dxa"/>
            <w:gridSpan w:val="3"/>
          </w:tcPr>
          <w:p w14:paraId="5387972C" w14:textId="77777777" w:rsidR="003923F7" w:rsidRPr="005066F1" w:rsidRDefault="005066F1" w:rsidP="00A81FDC">
            <w:pPr>
              <w:rPr>
                <w:sz w:val="14"/>
                <w:szCs w:val="14"/>
              </w:rPr>
            </w:pPr>
            <w:r>
              <w:rPr>
                <w:sz w:val="14"/>
                <w:szCs w:val="14"/>
              </w:rPr>
              <w:t>Dykkar</w:t>
            </w:r>
            <w:r w:rsidR="003923F7" w:rsidRPr="005066F1">
              <w:rPr>
                <w:sz w:val="14"/>
                <w:szCs w:val="14"/>
              </w:rPr>
              <w:t xml:space="preserve"> dato:</w:t>
            </w:r>
          </w:p>
        </w:tc>
        <w:tc>
          <w:tcPr>
            <w:tcW w:w="227" w:type="dxa"/>
          </w:tcPr>
          <w:p w14:paraId="13BF5631" w14:textId="77777777" w:rsidR="003923F7" w:rsidRPr="005066F1" w:rsidRDefault="003923F7" w:rsidP="00A81FDC">
            <w:pPr>
              <w:rPr>
                <w:sz w:val="14"/>
                <w:szCs w:val="14"/>
              </w:rPr>
            </w:pPr>
          </w:p>
        </w:tc>
        <w:tc>
          <w:tcPr>
            <w:tcW w:w="2129" w:type="dxa"/>
          </w:tcPr>
          <w:p w14:paraId="2E5A5C29" w14:textId="77777777" w:rsidR="003923F7" w:rsidRPr="005066F1" w:rsidRDefault="009A348B" w:rsidP="00A81FDC">
            <w:pPr>
              <w:rPr>
                <w:sz w:val="14"/>
                <w:szCs w:val="14"/>
              </w:rPr>
            </w:pPr>
            <w:r>
              <w:rPr>
                <w:sz w:val="14"/>
                <w:szCs w:val="14"/>
              </w:rPr>
              <w:t>Dykkar</w:t>
            </w:r>
            <w:r w:rsidR="003923F7" w:rsidRPr="005066F1">
              <w:rPr>
                <w:sz w:val="14"/>
                <w:szCs w:val="14"/>
              </w:rPr>
              <w:t xml:space="preserve"> </w:t>
            </w:r>
            <w:proofErr w:type="spellStart"/>
            <w:r w:rsidR="003923F7" w:rsidRPr="005066F1">
              <w:rPr>
                <w:sz w:val="14"/>
                <w:szCs w:val="14"/>
              </w:rPr>
              <w:t>ref</w:t>
            </w:r>
            <w:proofErr w:type="spellEnd"/>
            <w:r w:rsidR="003923F7" w:rsidRPr="005066F1">
              <w:rPr>
                <w:sz w:val="14"/>
                <w:szCs w:val="14"/>
              </w:rPr>
              <w:t>:</w:t>
            </w:r>
          </w:p>
        </w:tc>
      </w:tr>
      <w:tr w:rsidR="003923F7" w:rsidRPr="005066F1" w14:paraId="69E351DA" w14:textId="77777777" w:rsidTr="00F94139">
        <w:trPr>
          <w:gridAfter w:val="1"/>
          <w:wAfter w:w="4050" w:type="dxa"/>
        </w:trPr>
        <w:tc>
          <w:tcPr>
            <w:tcW w:w="4627" w:type="dxa"/>
          </w:tcPr>
          <w:p w14:paraId="7F1ABD10" w14:textId="77777777" w:rsidR="003923F7" w:rsidRPr="005066F1" w:rsidRDefault="003923F7" w:rsidP="00A81FDC"/>
        </w:tc>
        <w:tc>
          <w:tcPr>
            <w:tcW w:w="193" w:type="dxa"/>
          </w:tcPr>
          <w:p w14:paraId="3FD41516" w14:textId="77777777" w:rsidR="003923F7" w:rsidRPr="005066F1" w:rsidRDefault="003923F7" w:rsidP="00A81FDC"/>
        </w:tc>
        <w:tc>
          <w:tcPr>
            <w:tcW w:w="2175" w:type="dxa"/>
            <w:gridSpan w:val="3"/>
          </w:tcPr>
          <w:p w14:paraId="4639B3A6" w14:textId="77777777" w:rsidR="003923F7" w:rsidRPr="005066F1" w:rsidRDefault="003923F7" w:rsidP="00A81FDC">
            <w:bookmarkStart w:id="2" w:name="REFDATO"/>
            <w:bookmarkEnd w:id="2"/>
          </w:p>
        </w:tc>
        <w:tc>
          <w:tcPr>
            <w:tcW w:w="227" w:type="dxa"/>
          </w:tcPr>
          <w:p w14:paraId="2EADCC29" w14:textId="77777777" w:rsidR="003923F7" w:rsidRPr="005066F1" w:rsidRDefault="003923F7" w:rsidP="00A81FDC"/>
        </w:tc>
        <w:tc>
          <w:tcPr>
            <w:tcW w:w="2129" w:type="dxa"/>
          </w:tcPr>
          <w:p w14:paraId="5C7E071A" w14:textId="77777777" w:rsidR="003923F7" w:rsidRPr="005066F1" w:rsidRDefault="003923F7" w:rsidP="00A81FDC">
            <w:bookmarkStart w:id="3" w:name="REF"/>
            <w:bookmarkEnd w:id="3"/>
          </w:p>
        </w:tc>
      </w:tr>
      <w:tr w:rsidR="00FA600C" w:rsidRPr="005066F1" w14:paraId="68DC4B90" w14:textId="77777777" w:rsidTr="00F94139">
        <w:trPr>
          <w:gridAfter w:val="1"/>
          <w:wAfter w:w="4050" w:type="dxa"/>
          <w:trHeight w:val="222"/>
        </w:trPr>
        <w:tc>
          <w:tcPr>
            <w:tcW w:w="4820" w:type="dxa"/>
            <w:gridSpan w:val="2"/>
          </w:tcPr>
          <w:p w14:paraId="50C7F721" w14:textId="77777777" w:rsidR="00FA600C" w:rsidRPr="005066F1" w:rsidRDefault="00FA600C" w:rsidP="00A81FDC"/>
        </w:tc>
        <w:tc>
          <w:tcPr>
            <w:tcW w:w="2169" w:type="dxa"/>
            <w:gridSpan w:val="2"/>
          </w:tcPr>
          <w:p w14:paraId="22608C26" w14:textId="77777777" w:rsidR="00FA600C" w:rsidRPr="005066F1" w:rsidRDefault="00FA600C" w:rsidP="00A81FDC"/>
        </w:tc>
        <w:tc>
          <w:tcPr>
            <w:tcW w:w="2362" w:type="dxa"/>
            <w:gridSpan w:val="3"/>
          </w:tcPr>
          <w:p w14:paraId="6CED5B81" w14:textId="77777777" w:rsidR="00FA600C" w:rsidRPr="005066F1" w:rsidRDefault="00FA600C" w:rsidP="00A81FDC"/>
        </w:tc>
      </w:tr>
      <w:tr w:rsidR="00FA600C" w:rsidRPr="005066F1" w14:paraId="03D7B17B" w14:textId="77777777" w:rsidTr="00F94139">
        <w:trPr>
          <w:gridAfter w:val="1"/>
          <w:wAfter w:w="4050" w:type="dxa"/>
          <w:trHeight w:val="221"/>
        </w:trPr>
        <w:tc>
          <w:tcPr>
            <w:tcW w:w="4820" w:type="dxa"/>
            <w:gridSpan w:val="2"/>
            <w:vMerge w:val="restart"/>
          </w:tcPr>
          <w:p w14:paraId="664BBC23" w14:textId="7CABF1B6" w:rsidR="00FA600C" w:rsidRPr="005066F1" w:rsidRDefault="00D56068" w:rsidP="00A81FDC">
            <w:bookmarkStart w:id="4" w:name="MOTTAKERNAVN"/>
            <w:r>
              <w:t>Alle kommun</w:t>
            </w:r>
            <w:r w:rsidR="000A0ABD">
              <w:t>a</w:t>
            </w:r>
            <w:r>
              <w:t>ne i Trøndelag</w:t>
            </w:r>
            <w:bookmarkEnd w:id="4"/>
          </w:p>
          <w:p w14:paraId="027D68FB" w14:textId="7E4EEC00" w:rsidR="00FA600C" w:rsidRPr="005066F1" w:rsidRDefault="00FA600C" w:rsidP="00A81FDC">
            <w:bookmarkStart w:id="5" w:name="ADRESSE"/>
            <w:bookmarkEnd w:id="5"/>
          </w:p>
          <w:p w14:paraId="203105A1" w14:textId="445B8C89" w:rsidR="00FA600C" w:rsidRPr="005066F1" w:rsidRDefault="00FA600C" w:rsidP="00A81FDC">
            <w:bookmarkStart w:id="6" w:name="POSTNR"/>
            <w:bookmarkEnd w:id="6"/>
            <w:r w:rsidRPr="005066F1">
              <w:t xml:space="preserve"> </w:t>
            </w:r>
            <w:bookmarkStart w:id="7" w:name="POSTSTED"/>
            <w:bookmarkEnd w:id="7"/>
          </w:p>
          <w:p w14:paraId="13B1BDEC" w14:textId="77777777" w:rsidR="00FA600C" w:rsidRPr="005066F1" w:rsidRDefault="00FA600C" w:rsidP="00A81FDC">
            <w:bookmarkStart w:id="8" w:name="KONTAKT"/>
            <w:bookmarkEnd w:id="8"/>
          </w:p>
          <w:p w14:paraId="24CFB557" w14:textId="77777777" w:rsidR="00FA600C" w:rsidRPr="005066F1" w:rsidRDefault="00FA600C" w:rsidP="00A81FDC"/>
        </w:tc>
        <w:tc>
          <w:tcPr>
            <w:tcW w:w="20" w:type="dxa"/>
          </w:tcPr>
          <w:p w14:paraId="4F6CA3B2" w14:textId="77777777" w:rsidR="00FA600C" w:rsidRPr="005066F1" w:rsidRDefault="00FA600C" w:rsidP="00A81FDC"/>
        </w:tc>
        <w:tc>
          <w:tcPr>
            <w:tcW w:w="4511" w:type="dxa"/>
            <w:gridSpan w:val="4"/>
          </w:tcPr>
          <w:p w14:paraId="15D0BC62" w14:textId="77777777" w:rsidR="00FA600C" w:rsidRPr="005066F1" w:rsidRDefault="00FA600C" w:rsidP="00A81FDC">
            <w:r w:rsidRPr="005066F1">
              <w:rPr>
                <w:sz w:val="14"/>
                <w:szCs w:val="14"/>
              </w:rPr>
              <w:t>Saksbehandl</w:t>
            </w:r>
            <w:r w:rsidR="009A348B">
              <w:rPr>
                <w:sz w:val="14"/>
                <w:szCs w:val="14"/>
              </w:rPr>
              <w:t>a</w:t>
            </w:r>
            <w:r w:rsidRPr="005066F1">
              <w:rPr>
                <w:sz w:val="14"/>
                <w:szCs w:val="14"/>
              </w:rPr>
              <w:t>r, innvalstelefon</w:t>
            </w:r>
          </w:p>
        </w:tc>
      </w:tr>
      <w:tr w:rsidR="00FA600C" w:rsidRPr="005066F1" w14:paraId="2B7635D6" w14:textId="77777777" w:rsidTr="00F94139">
        <w:trPr>
          <w:gridAfter w:val="1"/>
          <w:wAfter w:w="4050" w:type="dxa"/>
        </w:trPr>
        <w:tc>
          <w:tcPr>
            <w:tcW w:w="4820" w:type="dxa"/>
            <w:gridSpan w:val="2"/>
            <w:vMerge/>
            <w:tcMar>
              <w:left w:w="0" w:type="dxa"/>
              <w:right w:w="0" w:type="dxa"/>
            </w:tcMar>
          </w:tcPr>
          <w:p w14:paraId="04C05FCE" w14:textId="77777777" w:rsidR="00FA600C" w:rsidRPr="005066F1" w:rsidRDefault="00FA600C" w:rsidP="00A81FDC"/>
        </w:tc>
        <w:tc>
          <w:tcPr>
            <w:tcW w:w="20" w:type="dxa"/>
            <w:tcMar>
              <w:left w:w="0" w:type="dxa"/>
              <w:right w:w="0" w:type="dxa"/>
            </w:tcMar>
          </w:tcPr>
          <w:p w14:paraId="63280414" w14:textId="77777777" w:rsidR="00FA600C" w:rsidRPr="005066F1" w:rsidRDefault="00FA600C" w:rsidP="003952A7">
            <w:pPr>
              <w:jc w:val="center"/>
            </w:pPr>
          </w:p>
        </w:tc>
        <w:tc>
          <w:tcPr>
            <w:tcW w:w="4511" w:type="dxa"/>
            <w:gridSpan w:val="4"/>
          </w:tcPr>
          <w:p w14:paraId="11314D7C" w14:textId="53F30238" w:rsidR="00FA600C" w:rsidRPr="005066F1" w:rsidRDefault="00D56068" w:rsidP="00A81FDC">
            <w:bookmarkStart w:id="9" w:name="SAKSBEHANDLERNAVN"/>
            <w:r>
              <w:t>Anders Dalland Mona</w:t>
            </w:r>
            <w:bookmarkEnd w:id="9"/>
            <w:r w:rsidR="00FA600C" w:rsidRPr="005066F1">
              <w:t xml:space="preserve">, </w:t>
            </w:r>
            <w:bookmarkStart w:id="10" w:name="SAKSBEHTLF"/>
            <w:r>
              <w:t>74 16 81 98</w:t>
            </w:r>
            <w:bookmarkEnd w:id="10"/>
          </w:p>
        </w:tc>
      </w:tr>
      <w:tr w:rsidR="00FA600C" w:rsidRPr="005066F1" w14:paraId="29FC5968" w14:textId="77777777" w:rsidTr="00F94139">
        <w:trPr>
          <w:gridAfter w:val="1"/>
          <w:wAfter w:w="4050" w:type="dxa"/>
        </w:trPr>
        <w:tc>
          <w:tcPr>
            <w:tcW w:w="4820" w:type="dxa"/>
            <w:gridSpan w:val="2"/>
            <w:vMerge/>
          </w:tcPr>
          <w:p w14:paraId="70FC1786" w14:textId="77777777" w:rsidR="00FA600C" w:rsidRPr="005066F1" w:rsidRDefault="00FA600C" w:rsidP="00A81FDC"/>
        </w:tc>
        <w:tc>
          <w:tcPr>
            <w:tcW w:w="20" w:type="dxa"/>
          </w:tcPr>
          <w:p w14:paraId="121F6625" w14:textId="77777777" w:rsidR="00FA600C" w:rsidRPr="005066F1" w:rsidRDefault="00FA600C" w:rsidP="00A81FDC"/>
        </w:tc>
        <w:tc>
          <w:tcPr>
            <w:tcW w:w="4511" w:type="dxa"/>
            <w:gridSpan w:val="4"/>
          </w:tcPr>
          <w:p w14:paraId="599E53A9" w14:textId="77777777" w:rsidR="00FA600C" w:rsidRPr="005066F1" w:rsidRDefault="00FA600C" w:rsidP="00A81FDC"/>
        </w:tc>
      </w:tr>
      <w:tr w:rsidR="00FA600C" w:rsidRPr="005066F1" w14:paraId="6AEF5EC3" w14:textId="77777777" w:rsidTr="00F94139">
        <w:trPr>
          <w:gridAfter w:val="1"/>
          <w:wAfter w:w="4050" w:type="dxa"/>
          <w:trHeight w:val="222"/>
        </w:trPr>
        <w:tc>
          <w:tcPr>
            <w:tcW w:w="4820" w:type="dxa"/>
            <w:gridSpan w:val="2"/>
            <w:vMerge/>
          </w:tcPr>
          <w:p w14:paraId="50FEAA8B" w14:textId="77777777" w:rsidR="00FA600C" w:rsidRPr="005066F1" w:rsidRDefault="00FA600C" w:rsidP="00A81FDC"/>
        </w:tc>
        <w:tc>
          <w:tcPr>
            <w:tcW w:w="4531" w:type="dxa"/>
            <w:gridSpan w:val="5"/>
          </w:tcPr>
          <w:p w14:paraId="54E18670" w14:textId="77777777" w:rsidR="00FA600C" w:rsidRPr="005066F1" w:rsidRDefault="00FA600C" w:rsidP="00A81FDC"/>
        </w:tc>
      </w:tr>
      <w:tr w:rsidR="00FA600C" w:rsidRPr="005066F1" w14:paraId="09ABCCD7" w14:textId="77777777" w:rsidTr="00F94139">
        <w:trPr>
          <w:gridAfter w:val="1"/>
          <w:wAfter w:w="4050" w:type="dxa"/>
          <w:trHeight w:val="135"/>
        </w:trPr>
        <w:tc>
          <w:tcPr>
            <w:tcW w:w="4820" w:type="dxa"/>
            <w:gridSpan w:val="2"/>
            <w:vMerge/>
          </w:tcPr>
          <w:p w14:paraId="7C134424" w14:textId="77777777" w:rsidR="00FA600C" w:rsidRPr="005066F1" w:rsidRDefault="00FA600C" w:rsidP="00A81FDC"/>
        </w:tc>
        <w:tc>
          <w:tcPr>
            <w:tcW w:w="4531" w:type="dxa"/>
            <w:gridSpan w:val="5"/>
          </w:tcPr>
          <w:p w14:paraId="0A2A0919" w14:textId="77777777" w:rsidR="00FA600C" w:rsidRPr="005066F1" w:rsidRDefault="00FA600C" w:rsidP="00A81FDC"/>
        </w:tc>
      </w:tr>
      <w:tr w:rsidR="00FA600C" w:rsidRPr="005066F1" w14:paraId="182EA03E" w14:textId="77777777" w:rsidTr="00F94139">
        <w:trPr>
          <w:trHeight w:val="134"/>
        </w:trPr>
        <w:tc>
          <w:tcPr>
            <w:tcW w:w="4820" w:type="dxa"/>
            <w:gridSpan w:val="2"/>
            <w:vMerge/>
          </w:tcPr>
          <w:p w14:paraId="1EDE15E5" w14:textId="77777777" w:rsidR="00FA600C" w:rsidRPr="005066F1" w:rsidRDefault="00FA600C" w:rsidP="00A81FDC"/>
        </w:tc>
        <w:tc>
          <w:tcPr>
            <w:tcW w:w="4531" w:type="dxa"/>
            <w:gridSpan w:val="5"/>
          </w:tcPr>
          <w:p w14:paraId="48FAB819" w14:textId="77777777" w:rsidR="00FA600C" w:rsidRPr="005066F1" w:rsidRDefault="00FA600C" w:rsidP="00A81FDC">
            <w:pPr>
              <w:rPr>
                <w:sz w:val="18"/>
              </w:rPr>
            </w:pPr>
            <w:bookmarkStart w:id="11" w:name="UOFFPARAGRAF"/>
            <w:bookmarkEnd w:id="11"/>
          </w:p>
        </w:tc>
        <w:tc>
          <w:tcPr>
            <w:tcW w:w="4050" w:type="dxa"/>
          </w:tcPr>
          <w:p w14:paraId="557582FA" w14:textId="77777777" w:rsidR="00FA600C" w:rsidRPr="005066F1" w:rsidRDefault="00FA600C">
            <w:pPr>
              <w:spacing w:after="160" w:line="259" w:lineRule="auto"/>
            </w:pPr>
          </w:p>
        </w:tc>
      </w:tr>
      <w:tr w:rsidR="00FA600C" w:rsidRPr="005066F1" w14:paraId="0EAFCBF2" w14:textId="77777777" w:rsidTr="00F94139">
        <w:trPr>
          <w:gridAfter w:val="1"/>
          <w:wAfter w:w="4050" w:type="dxa"/>
        </w:trPr>
        <w:tc>
          <w:tcPr>
            <w:tcW w:w="4820" w:type="dxa"/>
            <w:gridSpan w:val="2"/>
            <w:vMerge/>
          </w:tcPr>
          <w:p w14:paraId="4FC621D2" w14:textId="77777777" w:rsidR="00FA600C" w:rsidRPr="005066F1" w:rsidRDefault="00FA600C" w:rsidP="00A81FDC"/>
        </w:tc>
        <w:tc>
          <w:tcPr>
            <w:tcW w:w="20" w:type="dxa"/>
          </w:tcPr>
          <w:p w14:paraId="7F0C5113" w14:textId="77777777" w:rsidR="00FA600C" w:rsidRPr="005066F1" w:rsidRDefault="00FA600C" w:rsidP="00A81FDC"/>
        </w:tc>
        <w:tc>
          <w:tcPr>
            <w:tcW w:w="4511" w:type="dxa"/>
            <w:gridSpan w:val="4"/>
          </w:tcPr>
          <w:p w14:paraId="168F334D" w14:textId="77777777" w:rsidR="00FA600C" w:rsidRPr="005066F1" w:rsidRDefault="00FA600C" w:rsidP="00A81FDC"/>
        </w:tc>
      </w:tr>
    </w:tbl>
    <w:p w14:paraId="092FB485" w14:textId="77777777" w:rsidR="00B67D60" w:rsidRPr="005066F1" w:rsidRDefault="00B67D60" w:rsidP="00A81FDC">
      <w:pPr>
        <w:sectPr w:rsidR="00B67D60" w:rsidRPr="005066F1"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12" w:name="Fasttabell"/>
      <w:bookmarkEnd w:id="12"/>
    </w:p>
    <w:p w14:paraId="524503D4" w14:textId="2EFA30E8" w:rsidR="00992B01" w:rsidRDefault="00D56068" w:rsidP="00992B01">
      <w:pPr>
        <w:pStyle w:val="Overskrift1"/>
        <w:spacing w:before="0" w:after="0"/>
      </w:pPr>
      <w:bookmarkStart w:id="13" w:name="TITTEL"/>
      <w:proofErr w:type="spellStart"/>
      <w:r>
        <w:t>Veileder</w:t>
      </w:r>
      <w:proofErr w:type="spellEnd"/>
      <w:r>
        <w:t xml:space="preserve"> for regionale miljøtilskot til jordbruket i Trøndelag 2021</w:t>
      </w:r>
      <w:bookmarkEnd w:id="13"/>
    </w:p>
    <w:p w14:paraId="17E04D89" w14:textId="77777777" w:rsidR="000A0ABD" w:rsidRDefault="000A0ABD" w:rsidP="00992B01">
      <w:bookmarkStart w:id="14" w:name="Start"/>
      <w:bookmarkEnd w:id="14"/>
    </w:p>
    <w:p w14:paraId="724A689B" w14:textId="77777777" w:rsidR="000A0ABD" w:rsidRDefault="000A0ABD" w:rsidP="00992B01"/>
    <w:p w14:paraId="2CEB9AD7" w14:textId="4CAFF22A" w:rsidR="00992B01" w:rsidRPr="00803B5F" w:rsidRDefault="00992B01" w:rsidP="00992B01">
      <w:r w:rsidRPr="00803B5F">
        <w:t>Saksbehandlinga for regionale miljøtilskot skal gjerast  ut frå «Forskrift om regionale miljøtilskudd i jordbruket, Trøndelag»</w:t>
      </w:r>
      <w:r>
        <w:t xml:space="preserve"> FOR-2021-06-21-2148</w:t>
      </w:r>
      <w:r w:rsidRPr="00803B5F">
        <w:t>,</w:t>
      </w:r>
      <w:r>
        <w:t xml:space="preserve"> </w:t>
      </w:r>
      <w:r w:rsidRPr="00803B5F">
        <w:t>«</w:t>
      </w:r>
      <w:proofErr w:type="spellStart"/>
      <w:r w:rsidRPr="00803B5F">
        <w:t>Veileder</w:t>
      </w:r>
      <w:proofErr w:type="spellEnd"/>
      <w:r w:rsidRPr="00803B5F">
        <w:t xml:space="preserve"> Regionale </w:t>
      </w:r>
      <w:proofErr w:type="spellStart"/>
      <w:r w:rsidRPr="00803B5F">
        <w:t>miljøtilskudd</w:t>
      </w:r>
      <w:proofErr w:type="spellEnd"/>
      <w:r w:rsidRPr="00803B5F">
        <w:t xml:space="preserve"> til jordbruket i Trøndelag 2021» frå Statsforvalt</w:t>
      </w:r>
      <w:r>
        <w:t>a</w:t>
      </w:r>
      <w:r w:rsidRPr="00803B5F">
        <w:t>ren i Trøndelag</w:t>
      </w:r>
      <w:r>
        <w:t>,</w:t>
      </w:r>
      <w:r w:rsidRPr="00803B5F">
        <w:t xml:space="preserve"> </w:t>
      </w:r>
      <w:r>
        <w:t>datert 22.</w:t>
      </w:r>
      <w:r w:rsidR="0094104C">
        <w:t xml:space="preserve"> </w:t>
      </w:r>
      <w:r>
        <w:t xml:space="preserve">juni 2021, og </w:t>
      </w:r>
      <w:r w:rsidRPr="00803B5F">
        <w:t>«Rundskriv 2021/12» frå Landbruksdirektoratet.</w:t>
      </w:r>
    </w:p>
    <w:p w14:paraId="659FE885" w14:textId="77777777" w:rsidR="00992B01" w:rsidRPr="00803B5F" w:rsidRDefault="00992B01" w:rsidP="00992B01">
      <w:pPr>
        <w:rPr>
          <w:b/>
        </w:rPr>
      </w:pPr>
    </w:p>
    <w:p w14:paraId="42A81BEB" w14:textId="77777777" w:rsidR="00992B01" w:rsidRPr="00803B5F" w:rsidRDefault="00992B01" w:rsidP="00992B01">
      <w:pPr>
        <w:rPr>
          <w:b/>
        </w:rPr>
      </w:pPr>
    </w:p>
    <w:p w14:paraId="4643EBE6" w14:textId="77777777" w:rsidR="00992B01" w:rsidRPr="00992B01" w:rsidRDefault="00992B01" w:rsidP="00992B01">
      <w:pPr>
        <w:rPr>
          <w:b/>
          <w:sz w:val="24"/>
          <w:szCs w:val="24"/>
        </w:rPr>
      </w:pPr>
      <w:r w:rsidRPr="00992B01">
        <w:rPr>
          <w:b/>
          <w:sz w:val="24"/>
          <w:szCs w:val="24"/>
        </w:rPr>
        <w:t>Tidsfristar for saksbehandling av søknadsomgangen 15. oktober 2021</w:t>
      </w:r>
    </w:p>
    <w:p w14:paraId="26D9FC38" w14:textId="77777777" w:rsidR="00992B01" w:rsidRPr="00EF6BDF" w:rsidRDefault="00992B01" w:rsidP="00992B01">
      <w:pPr>
        <w:numPr>
          <w:ilvl w:val="0"/>
          <w:numId w:val="1"/>
        </w:numPr>
      </w:pPr>
      <w:r w:rsidRPr="00EF6BDF">
        <w:t>16. oktober saksbehandling av søknadane kan starte</w:t>
      </w:r>
    </w:p>
    <w:p w14:paraId="13ADAC4A" w14:textId="77777777" w:rsidR="00992B01" w:rsidRPr="00EF6BDF" w:rsidRDefault="00992B01" w:rsidP="00992B01">
      <w:pPr>
        <w:numPr>
          <w:ilvl w:val="0"/>
          <w:numId w:val="1"/>
        </w:numPr>
      </w:pPr>
      <w:r w:rsidRPr="00EF6BDF">
        <w:t>2</w:t>
      </w:r>
      <w:r w:rsidRPr="00803B5F">
        <w:t>1</w:t>
      </w:r>
      <w:r w:rsidRPr="00EF6BDF">
        <w:t xml:space="preserve">. januar saksbehandlinga i kommunane </w:t>
      </w:r>
      <w:r w:rsidRPr="00803B5F">
        <w:t xml:space="preserve">skal vera </w:t>
      </w:r>
      <w:r w:rsidRPr="00EF6BDF">
        <w:t>ferdig</w:t>
      </w:r>
      <w:r w:rsidRPr="00803B5F">
        <w:t xml:space="preserve"> (godkjent, avslått eller avvist)</w:t>
      </w:r>
    </w:p>
    <w:p w14:paraId="08B7525A" w14:textId="77777777" w:rsidR="00992B01" w:rsidRPr="00EF6BDF" w:rsidRDefault="00992B01" w:rsidP="00992B01">
      <w:pPr>
        <w:numPr>
          <w:ilvl w:val="0"/>
          <w:numId w:val="1"/>
        </w:numPr>
      </w:pPr>
      <w:r w:rsidRPr="00803B5F">
        <w:t>4</w:t>
      </w:r>
      <w:r w:rsidRPr="00EF6BDF">
        <w:t xml:space="preserve">. februar </w:t>
      </w:r>
      <w:r w:rsidRPr="00803B5F">
        <w:t>Statsforvaltaren</w:t>
      </w:r>
      <w:r w:rsidRPr="00EF6BDF">
        <w:t xml:space="preserve"> set endelege satsar</w:t>
      </w:r>
    </w:p>
    <w:p w14:paraId="7BDEF466" w14:textId="77777777" w:rsidR="00992B01" w:rsidRPr="00EF6BDF" w:rsidRDefault="00992B01" w:rsidP="00992B01">
      <w:pPr>
        <w:numPr>
          <w:ilvl w:val="0"/>
          <w:numId w:val="1"/>
        </w:numPr>
      </w:pPr>
      <w:r w:rsidRPr="00803B5F">
        <w:t>18</w:t>
      </w:r>
      <w:r w:rsidRPr="00EF6BDF">
        <w:t>. februar frist for kommunen til å attestere</w:t>
      </w:r>
    </w:p>
    <w:p w14:paraId="3352E59E" w14:textId="77777777" w:rsidR="00992B01" w:rsidRPr="00EF6BDF" w:rsidRDefault="00992B01" w:rsidP="00992B01">
      <w:pPr>
        <w:numPr>
          <w:ilvl w:val="0"/>
          <w:numId w:val="1"/>
        </w:numPr>
      </w:pPr>
      <w:r w:rsidRPr="00EF6BDF">
        <w:t>25. februar frist for endring av konton</w:t>
      </w:r>
      <w:r w:rsidRPr="00803B5F">
        <w:t>ummer</w:t>
      </w:r>
      <w:r w:rsidRPr="00EF6BDF">
        <w:t xml:space="preserve"> i Altinn</w:t>
      </w:r>
    </w:p>
    <w:p w14:paraId="0E3F9BEB" w14:textId="77777777" w:rsidR="00992B01" w:rsidRDefault="00992B01" w:rsidP="00992B01">
      <w:pPr>
        <w:numPr>
          <w:ilvl w:val="0"/>
          <w:numId w:val="1"/>
        </w:numPr>
      </w:pPr>
      <w:r w:rsidRPr="00EF6BDF">
        <w:t>1</w:t>
      </w:r>
      <w:r w:rsidRPr="00803B5F">
        <w:t>1</w:t>
      </w:r>
      <w:r w:rsidRPr="00EF6BDF">
        <w:t>. mars utbetaling</w:t>
      </w:r>
    </w:p>
    <w:p w14:paraId="394D3EB8" w14:textId="77777777" w:rsidR="00992B01" w:rsidRDefault="00992B01" w:rsidP="00992B01"/>
    <w:p w14:paraId="291D86D8" w14:textId="77777777" w:rsidR="00992B01" w:rsidRPr="00EF6BDF" w:rsidRDefault="00992B01" w:rsidP="00992B01"/>
    <w:p w14:paraId="6CCADBD1" w14:textId="77777777" w:rsidR="00992B01" w:rsidRPr="00803B5F" w:rsidRDefault="00992B01" w:rsidP="00992B01"/>
    <w:p w14:paraId="3D5FC87A" w14:textId="77777777" w:rsidR="00992B01" w:rsidRPr="00992B01" w:rsidRDefault="00992B01" w:rsidP="00992B01">
      <w:pPr>
        <w:rPr>
          <w:b/>
          <w:bCs/>
          <w:sz w:val="24"/>
          <w:szCs w:val="24"/>
        </w:rPr>
      </w:pPr>
      <w:bookmarkStart w:id="15" w:name="_Hlk85202072"/>
      <w:bookmarkStart w:id="16" w:name="_Hlk85544066"/>
      <w:r w:rsidRPr="00992B01">
        <w:rPr>
          <w:b/>
          <w:bCs/>
          <w:sz w:val="24"/>
          <w:szCs w:val="24"/>
        </w:rPr>
        <w:t>Klassifisering av erosjonsrisiko, inklusiv drog, på areal på føretak som ikkje er klassifisert på NIBIO sine erosjonsrisikokart.</w:t>
      </w:r>
    </w:p>
    <w:p w14:paraId="1E9ACB5C" w14:textId="77777777" w:rsidR="00992B01" w:rsidRPr="00B27C71" w:rsidRDefault="00992B01" w:rsidP="00992B01"/>
    <w:p w14:paraId="33785680" w14:textId="77777777" w:rsidR="00992B01" w:rsidRPr="00B27C71" w:rsidRDefault="00992B01" w:rsidP="00992B01">
      <w:r w:rsidRPr="00B27C71">
        <w:t>Nibio sin</w:t>
      </w:r>
      <w:r>
        <w:t>e</w:t>
      </w:r>
      <w:r w:rsidRPr="00B27C71">
        <w:t xml:space="preserve"> erosjonsrisikokart er nye for søknadsåret 2021. Der slike kart finns </w:t>
      </w:r>
      <w:r w:rsidRPr="00992B01">
        <w:rPr>
          <w:u w:val="single"/>
        </w:rPr>
        <w:t>skal</w:t>
      </w:r>
      <w:r w:rsidRPr="00B27C71">
        <w:t xml:space="preserve"> de</w:t>
      </w:r>
      <w:r>
        <w:t>sse</w:t>
      </w:r>
      <w:r w:rsidRPr="00B27C71">
        <w:t xml:space="preserve"> leggjast til grunn for tilskot til ordninga «ingen jordarbeiding om hausten».</w:t>
      </w:r>
    </w:p>
    <w:p w14:paraId="2A9B2A51" w14:textId="77777777" w:rsidR="00992B01" w:rsidRPr="00B27C71" w:rsidRDefault="00992B01" w:rsidP="00992B01"/>
    <w:p w14:paraId="1DB339A6" w14:textId="77777777" w:rsidR="00992B01" w:rsidRPr="00B27C71" w:rsidRDefault="00992B01" w:rsidP="00992B01">
      <w:r w:rsidRPr="00B27C71">
        <w:t>Fleire kommunar i Trøndelag er ikkje erosjonsrisikoklassifisert. I desse kommunane gjorde kommunane på 90-talet ei manuell berekning av erosjonsrisikoen på jordbruksareala</w:t>
      </w:r>
      <w:r>
        <w:t xml:space="preserve"> ut frå «</w:t>
      </w:r>
      <w:proofErr w:type="spellStart"/>
      <w:r w:rsidRPr="00FF7F6D">
        <w:rPr>
          <w:i/>
          <w:iCs/>
        </w:rPr>
        <w:t>Veileder</w:t>
      </w:r>
      <w:proofErr w:type="spellEnd"/>
      <w:r w:rsidRPr="00FF7F6D">
        <w:rPr>
          <w:i/>
          <w:iCs/>
        </w:rPr>
        <w:t xml:space="preserve"> for prioritering av </w:t>
      </w:r>
      <w:proofErr w:type="spellStart"/>
      <w:r w:rsidRPr="00FF7F6D">
        <w:rPr>
          <w:i/>
          <w:iCs/>
        </w:rPr>
        <w:t>arealer</w:t>
      </w:r>
      <w:proofErr w:type="spellEnd"/>
      <w:r w:rsidRPr="00FF7F6D">
        <w:rPr>
          <w:i/>
          <w:iCs/>
        </w:rPr>
        <w:t xml:space="preserve"> for </w:t>
      </w:r>
      <w:proofErr w:type="spellStart"/>
      <w:r w:rsidRPr="00FF7F6D">
        <w:rPr>
          <w:i/>
          <w:iCs/>
        </w:rPr>
        <w:t>tilskudd</w:t>
      </w:r>
      <w:proofErr w:type="spellEnd"/>
      <w:r w:rsidRPr="00FF7F6D">
        <w:rPr>
          <w:i/>
          <w:iCs/>
        </w:rPr>
        <w:t xml:space="preserve"> til </w:t>
      </w:r>
      <w:proofErr w:type="spellStart"/>
      <w:r w:rsidRPr="00FF7F6D">
        <w:rPr>
          <w:i/>
          <w:iCs/>
        </w:rPr>
        <w:t>endret</w:t>
      </w:r>
      <w:proofErr w:type="spellEnd"/>
      <w:r w:rsidRPr="00FF7F6D">
        <w:rPr>
          <w:i/>
          <w:iCs/>
        </w:rPr>
        <w:t xml:space="preserve"> </w:t>
      </w:r>
      <w:proofErr w:type="spellStart"/>
      <w:r w:rsidRPr="00FF7F6D">
        <w:rPr>
          <w:i/>
          <w:iCs/>
        </w:rPr>
        <w:t>jordarbeiding</w:t>
      </w:r>
      <w:proofErr w:type="spellEnd"/>
      <w:r w:rsidRPr="00FF7F6D">
        <w:rPr>
          <w:i/>
          <w:iCs/>
        </w:rPr>
        <w:t>»</w:t>
      </w:r>
      <w:r>
        <w:t xml:space="preserve">. </w:t>
      </w:r>
      <w:r w:rsidRPr="00B27C71">
        <w:t xml:space="preserve">Desse utrekningane har sidan vorte brukt som grunnlag for tilskot til «ingen jordarbeiding om hausten». Kommunane si klassifisering </w:t>
      </w:r>
      <w:r>
        <w:t xml:space="preserve">etter denne </w:t>
      </w:r>
      <w:proofErr w:type="spellStart"/>
      <w:r>
        <w:t>veilederen</w:t>
      </w:r>
      <w:proofErr w:type="spellEnd"/>
      <w:r>
        <w:t xml:space="preserve"> var</w:t>
      </w:r>
      <w:r w:rsidRPr="00B27C71">
        <w:t xml:space="preserve"> noko grovare enn Nibio si</w:t>
      </w:r>
      <w:r>
        <w:t>n metode,</w:t>
      </w:r>
      <w:r w:rsidRPr="00B27C71">
        <w:t xml:space="preserve"> og </w:t>
      </w:r>
      <w:r>
        <w:t xml:space="preserve">gav </w:t>
      </w:r>
      <w:r w:rsidRPr="00B27C71">
        <w:t xml:space="preserve">jamt over høgare </w:t>
      </w:r>
      <w:r>
        <w:t>klassifisering av erosjons</w:t>
      </w:r>
      <w:r w:rsidRPr="00B27C71">
        <w:t xml:space="preserve">risiko. </w:t>
      </w:r>
      <w:r>
        <w:t>Ei av årsakene til dette var at mykje dalsøkk (drog) etter gamlemetoden ofte gjorde at areal kom i klasse 3 eller 4.</w:t>
      </w:r>
    </w:p>
    <w:p w14:paraId="7FB74F12" w14:textId="77777777" w:rsidR="00992B01" w:rsidRPr="00B27C71" w:rsidRDefault="00992B01" w:rsidP="00992B01"/>
    <w:p w14:paraId="36616777" w14:textId="77777777" w:rsidR="00992B01" w:rsidRDefault="00992B01" w:rsidP="00992B01">
      <w:r>
        <w:lastRenderedPageBreak/>
        <w:t xml:space="preserve">Dagens Nibio-metode </w:t>
      </w:r>
      <w:r w:rsidRPr="00B27C71">
        <w:t>for utrekning av erosjonsrisiko</w:t>
      </w:r>
      <w:r>
        <w:t>,</w:t>
      </w:r>
      <w:r w:rsidRPr="00B27C71">
        <w:t xml:space="preserve"> som er grunnlag for </w:t>
      </w:r>
      <w:r>
        <w:t xml:space="preserve">årets erosjonsrisikokart, gir </w:t>
      </w:r>
      <w:r w:rsidRPr="00B27C71">
        <w:t>på ein del areal lågare erosjonsrisiko enn tidlegare, noko som gjer at det er blitt større avstand mellom</w:t>
      </w:r>
      <w:r>
        <w:t xml:space="preserve"> kommunens manuelle berekning og Nibio sine nye kart. </w:t>
      </w:r>
    </w:p>
    <w:p w14:paraId="51CB18DF" w14:textId="77777777" w:rsidR="00992B01" w:rsidRDefault="00992B01" w:rsidP="00992B01"/>
    <w:p w14:paraId="7785F847" w14:textId="628C934F" w:rsidR="00992B01" w:rsidRPr="0022170E" w:rsidRDefault="00992B01" w:rsidP="00992B01">
      <w:r>
        <w:t xml:space="preserve">Det er for den nye Nibio-metode for å berekna erosjonsrisiko ikkje laga manuell utrekningsmetode. </w:t>
      </w:r>
      <w:proofErr w:type="spellStart"/>
      <w:r>
        <w:t>Saksbehandler</w:t>
      </w:r>
      <w:proofErr w:type="spellEnd"/>
      <w:r>
        <w:t xml:space="preserve"> skal difor i søknader der heile eigedomar eller store delar av dei ligg som «uklassifisert areal» fordele desse areala mellom dei ulike erosjonsrisikoklassane som tidlegare år og med det leggje til grunn den «gamle» manuelle berekninga av erosjonsrisiko for ordninga «ingen jordarbeiding om hausten».</w:t>
      </w:r>
    </w:p>
    <w:p w14:paraId="6992B0C1" w14:textId="77777777" w:rsidR="00992B01" w:rsidRDefault="00992B01" w:rsidP="00992B01"/>
    <w:p w14:paraId="3B93CAC8" w14:textId="77777777" w:rsidR="00992B01" w:rsidRDefault="00992B01" w:rsidP="00992B01">
      <w:pPr>
        <w:rPr>
          <w:b/>
          <w:bCs/>
        </w:rPr>
      </w:pPr>
    </w:p>
    <w:p w14:paraId="2FD73F5C" w14:textId="77777777" w:rsidR="00992B01" w:rsidRPr="00E12216" w:rsidRDefault="00992B01" w:rsidP="00992B01">
      <w:pPr>
        <w:rPr>
          <w:b/>
          <w:bCs/>
        </w:rPr>
      </w:pPr>
      <w:r w:rsidRPr="00E12216">
        <w:rPr>
          <w:b/>
          <w:bCs/>
        </w:rPr>
        <w:t>Utrekning av areal i erosjonsklasse 1 og 2 med drog</w:t>
      </w:r>
    </w:p>
    <w:p w14:paraId="6FA68B0E" w14:textId="69D2294A" w:rsidR="00992B01" w:rsidRDefault="00992B01" w:rsidP="00992B01">
      <w:r w:rsidRPr="00ED12D2">
        <w:t xml:space="preserve">For utrekning av tilleggsklassene </w:t>
      </w:r>
      <w:r>
        <w:t>«</w:t>
      </w:r>
      <w:r w:rsidRPr="00ED12D2">
        <w:t>Klasse 1 med drog</w:t>
      </w:r>
      <w:r>
        <w:t>»</w:t>
      </w:r>
      <w:r w:rsidRPr="00ED12D2">
        <w:t xml:space="preserve"> og </w:t>
      </w:r>
      <w:r>
        <w:t>«</w:t>
      </w:r>
      <w:r w:rsidRPr="00ED12D2">
        <w:t>klasse 2 med drog</w:t>
      </w:r>
      <w:r>
        <w:t>»</w:t>
      </w:r>
      <w:r w:rsidRPr="00ED12D2">
        <w:t xml:space="preserve">  skal ein leggja til grunn at droga</w:t>
      </w:r>
      <w:r>
        <w:t xml:space="preserve"> </w:t>
      </w:r>
      <w:r w:rsidRPr="00ED12D2">
        <w:t>er jamt f</w:t>
      </w:r>
      <w:r>
        <w:t xml:space="preserve">ordelt på eigedomen. Saksbehandlar skal </w:t>
      </w:r>
      <w:r w:rsidR="007A1875">
        <w:t xml:space="preserve">bruker </w:t>
      </w:r>
      <w:r>
        <w:t xml:space="preserve">rapport frå landbruksdirektoratet (denne rapporten er ikkje tilgjengeleg enno) </w:t>
      </w:r>
      <w:r w:rsidR="007A1875">
        <w:t xml:space="preserve">for å </w:t>
      </w:r>
      <w:r>
        <w:t xml:space="preserve">få fram summen av droglengda på alt areal i kvar søknad som er omsøkt ingen jordarbeiding om hausten. Denne lengda skal delast på areal «ingen jordarbeiding om hausten» slik at ein får </w:t>
      </w:r>
      <w:proofErr w:type="spellStart"/>
      <w:r>
        <w:t>antal</w:t>
      </w:r>
      <w:proofErr w:type="spellEnd"/>
      <w:r>
        <w:t xml:space="preserve"> meter drog per dekar</w:t>
      </w:r>
      <w:r w:rsidRPr="00592DFF">
        <w:t xml:space="preserve"> </w:t>
      </w:r>
      <w:r>
        <w:t>omsøkt areal. Dette talet (</w:t>
      </w:r>
      <w:proofErr w:type="spellStart"/>
      <w:r>
        <w:t>antal</w:t>
      </w:r>
      <w:proofErr w:type="spellEnd"/>
      <w:r>
        <w:t xml:space="preserve"> meter drog/daa) skal multipliserast med </w:t>
      </w:r>
      <w:proofErr w:type="spellStart"/>
      <w:r>
        <w:t>antal</w:t>
      </w:r>
      <w:proofErr w:type="spellEnd"/>
      <w:r>
        <w:t xml:space="preserve"> dekar i erosjonsklasse 1 og deretter dividerast med 10. Talet ein då får fram er </w:t>
      </w:r>
      <w:proofErr w:type="spellStart"/>
      <w:r>
        <w:t>antal</w:t>
      </w:r>
      <w:proofErr w:type="spellEnd"/>
      <w:r>
        <w:t xml:space="preserve"> dekar erosjonsklasse 1 med drog. Resten av arealet i denne klassen blir «erosjonsklasse 1 utan drog». Det same skal gjerast for erosjonsklasse 2.</w:t>
      </w:r>
    </w:p>
    <w:p w14:paraId="633181BC" w14:textId="77777777" w:rsidR="00992B01" w:rsidRDefault="00992B01" w:rsidP="00992B01"/>
    <w:p w14:paraId="7D4AE7A1" w14:textId="77777777" w:rsidR="00992B01" w:rsidRDefault="00992B01" w:rsidP="00992B01">
      <w:r>
        <w:t xml:space="preserve">I merknadsfeltet for vedtaket kan kommunen skriva at fordeling av areal i erosjonsrisikoklasse 1 og 2, med drog, er gjort etter instruks frå Statsforvaltaren. </w:t>
      </w:r>
    </w:p>
    <w:p w14:paraId="3DA4FFA1" w14:textId="77777777" w:rsidR="00992B01" w:rsidRDefault="00992B01" w:rsidP="00992B01"/>
    <w:p w14:paraId="7DEF8BF1" w14:textId="44723F6F" w:rsidR="00992B01" w:rsidRDefault="00992B01" w:rsidP="00992B01">
      <w:r>
        <w:t>Eksempel:</w:t>
      </w:r>
    </w:p>
    <w:p w14:paraId="6DF85CF3" w14:textId="77777777" w:rsidR="00992B01" w:rsidRDefault="00992B01" w:rsidP="00992B01"/>
    <w:bookmarkStart w:id="17" w:name="_MON_1695798199"/>
    <w:bookmarkEnd w:id="17"/>
    <w:p w14:paraId="69D88F30" w14:textId="1DB6DC06" w:rsidR="00992B01" w:rsidRDefault="00992B01" w:rsidP="00992B01">
      <w:r>
        <w:object w:dxaOrig="8730" w:dyaOrig="5367" w14:anchorId="3AB0D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63.25pt" o:ole="">
            <v:imagedata r:id="rId14" o:title=""/>
          </v:shape>
          <o:OLEObject Type="Embed" ProgID="Excel.Sheet.12" ShapeID="_x0000_i1025" DrawAspect="Content" ObjectID="_1696160446" r:id="rId15"/>
        </w:object>
      </w:r>
    </w:p>
    <w:p w14:paraId="33FA2158" w14:textId="77777777" w:rsidR="00992B01" w:rsidRDefault="00992B01" w:rsidP="00992B01"/>
    <w:bookmarkEnd w:id="15"/>
    <w:p w14:paraId="1DDDFEF1" w14:textId="77777777" w:rsidR="00992B01" w:rsidRDefault="00992B01" w:rsidP="00992B01">
      <w:pPr>
        <w:rPr>
          <w:b/>
          <w:bCs/>
        </w:rPr>
      </w:pPr>
    </w:p>
    <w:bookmarkEnd w:id="16"/>
    <w:p w14:paraId="3591AC2C" w14:textId="77777777" w:rsidR="000A0ABD" w:rsidRDefault="000A0ABD">
      <w:pPr>
        <w:spacing w:after="160" w:line="259" w:lineRule="auto"/>
        <w:rPr>
          <w:b/>
          <w:bCs/>
          <w:sz w:val="24"/>
          <w:szCs w:val="24"/>
        </w:rPr>
      </w:pPr>
      <w:r>
        <w:rPr>
          <w:b/>
          <w:bCs/>
          <w:sz w:val="24"/>
          <w:szCs w:val="24"/>
        </w:rPr>
        <w:br w:type="page"/>
      </w:r>
    </w:p>
    <w:p w14:paraId="688A3273" w14:textId="5417966F" w:rsidR="00992B01" w:rsidRPr="00992B01" w:rsidRDefault="000A0ABD" w:rsidP="00992B01">
      <w:pPr>
        <w:rPr>
          <w:b/>
          <w:bCs/>
          <w:sz w:val="24"/>
          <w:szCs w:val="24"/>
        </w:rPr>
      </w:pPr>
      <w:r>
        <w:rPr>
          <w:b/>
          <w:bCs/>
          <w:sz w:val="24"/>
          <w:szCs w:val="24"/>
        </w:rPr>
        <w:lastRenderedPageBreak/>
        <w:t>Sonar for pollinerande insekt</w:t>
      </w:r>
    </w:p>
    <w:p w14:paraId="5F03AFF3" w14:textId="77777777" w:rsidR="00992B01" w:rsidRDefault="00992B01" w:rsidP="00992B01"/>
    <w:p w14:paraId="18BE49E2" w14:textId="209A6AE6" w:rsidR="00992B01" w:rsidRDefault="00992B01" w:rsidP="00992B01">
      <w:r>
        <w:t xml:space="preserve">Ordninga med pollinatorsoner gjeld berre i korn og andre åkervekstar (potet og grønsaker). Sonene skal vera etablert som to meter brei striper enten rundt eller gjennom åkeren. Ordninga gjeld ikkje areal som er tatt ut av produksjon på grunn av at det er eit dårleg kornareal og heile dette arealet difor er tilsådd med pollinatorsone. Dersom pollinatorsona er sådd saman med grasdekt kantsone eller grasdekt vassveg skal heile denne sonen vera pollinatorsone, ikkje berre to meter av den. Sonen skal vera etablert for å vera </w:t>
      </w:r>
      <w:proofErr w:type="spellStart"/>
      <w:r>
        <w:t>berettiga</w:t>
      </w:r>
      <w:proofErr w:type="spellEnd"/>
      <w:r>
        <w:t xml:space="preserve"> tilskot, </w:t>
      </w:r>
      <w:proofErr w:type="spellStart"/>
      <w:r>
        <w:t>dvs</w:t>
      </w:r>
      <w:proofErr w:type="spellEnd"/>
      <w:r>
        <w:t xml:space="preserve"> storparten av arealet skal vera dekka av sådde </w:t>
      </w:r>
      <w:proofErr w:type="spellStart"/>
      <w:r>
        <w:t>pollinatorvenlege</w:t>
      </w:r>
      <w:proofErr w:type="spellEnd"/>
      <w:r>
        <w:t xml:space="preserve"> vekstar  som raudkløver, kvitkløver, blodkløver, honningurt og tiriltunge.</w:t>
      </w:r>
    </w:p>
    <w:p w14:paraId="5725305A" w14:textId="77777777" w:rsidR="00992B01" w:rsidRDefault="00992B01" w:rsidP="00992B01"/>
    <w:p w14:paraId="48BCD0F3" w14:textId="77777777" w:rsidR="00992B01" w:rsidRDefault="00992B01" w:rsidP="00992B01">
      <w:pPr>
        <w:rPr>
          <w:b/>
          <w:bCs/>
        </w:rPr>
      </w:pPr>
    </w:p>
    <w:p w14:paraId="0EA8D578" w14:textId="27675EAE" w:rsidR="00992B01" w:rsidRPr="00992B01" w:rsidRDefault="00992B01" w:rsidP="00992B01">
      <w:pPr>
        <w:rPr>
          <w:b/>
          <w:bCs/>
          <w:sz w:val="24"/>
          <w:szCs w:val="24"/>
        </w:rPr>
      </w:pPr>
      <w:r w:rsidRPr="00992B01">
        <w:rPr>
          <w:b/>
          <w:bCs/>
          <w:sz w:val="24"/>
          <w:szCs w:val="24"/>
        </w:rPr>
        <w:t xml:space="preserve">Naturbase og </w:t>
      </w:r>
      <w:r>
        <w:rPr>
          <w:b/>
          <w:bCs/>
          <w:sz w:val="24"/>
          <w:szCs w:val="24"/>
        </w:rPr>
        <w:t xml:space="preserve">ny klassifisering etter </w:t>
      </w:r>
      <w:r w:rsidRPr="00992B01">
        <w:rPr>
          <w:b/>
          <w:bCs/>
          <w:sz w:val="24"/>
          <w:szCs w:val="24"/>
        </w:rPr>
        <w:t>NiN</w:t>
      </w:r>
      <w:r>
        <w:rPr>
          <w:b/>
          <w:bCs/>
          <w:sz w:val="24"/>
          <w:szCs w:val="24"/>
        </w:rPr>
        <w:t xml:space="preserve"> </w:t>
      </w:r>
    </w:p>
    <w:p w14:paraId="342871E4" w14:textId="77777777" w:rsidR="00992B01" w:rsidRDefault="00992B01" w:rsidP="00992B01"/>
    <w:p w14:paraId="7E12123D" w14:textId="2B81F889" w:rsidR="00992B01" w:rsidRDefault="00992B01" w:rsidP="00992B01">
      <w:r>
        <w:t xml:space="preserve">Naturbasekartet i eStil RMP er ikkje oppdatert mot naturbase NiN (den nye kartleggingsmetodikken) Det kan difor vera at areal som kjem opp som uklassifisert i eStil RMP likevel er klassifisert og kan tilfredsstille krava for den ordninga som er omsøkt. Saksbehandlar må då sjekke direkte mot Naturbase under «naturtypar NiN» </w:t>
      </w:r>
      <w:hyperlink r:id="rId16" w:history="1">
        <w:r w:rsidRPr="00F82522">
          <w:rPr>
            <w:rStyle w:val="Hyperkobling"/>
          </w:rPr>
          <w:t>https://geocortex01.miljodirektoratet.no/Html5Viewer/?viewer=naturbase</w:t>
        </w:r>
      </w:hyperlink>
      <w:r>
        <w:t xml:space="preserve"> eller i GIS-Link under emnet «natur», </w:t>
      </w:r>
      <w:hyperlink r:id="rId17" w:history="1">
        <w:r w:rsidRPr="00F82522">
          <w:rPr>
            <w:rStyle w:val="Hyperkobling"/>
          </w:rPr>
          <w:t>https://kart.gislink.no/kart/?viewer=kart#</w:t>
        </w:r>
      </w:hyperlink>
      <w:r>
        <w:t xml:space="preserve"> .</w:t>
      </w:r>
    </w:p>
    <w:p w14:paraId="1652B077" w14:textId="77777777" w:rsidR="00992B01" w:rsidRDefault="00992B01" w:rsidP="00992B01"/>
    <w:p w14:paraId="7D4873E8" w14:textId="77777777" w:rsidR="00992B01" w:rsidRDefault="00992B01" w:rsidP="00992B01">
      <w:pPr>
        <w:rPr>
          <w:b/>
          <w:bCs/>
        </w:rPr>
      </w:pPr>
    </w:p>
    <w:p w14:paraId="5F9391B3" w14:textId="77777777" w:rsidR="00992B01" w:rsidRPr="00992B01" w:rsidRDefault="00992B01" w:rsidP="00992B01">
      <w:pPr>
        <w:rPr>
          <w:b/>
          <w:bCs/>
          <w:sz w:val="24"/>
          <w:szCs w:val="24"/>
        </w:rPr>
      </w:pPr>
      <w:r w:rsidRPr="00992B01">
        <w:rPr>
          <w:b/>
          <w:bCs/>
          <w:sz w:val="24"/>
          <w:szCs w:val="24"/>
        </w:rPr>
        <w:t>Kystlynghei kartlagt som boreal hei</w:t>
      </w:r>
    </w:p>
    <w:p w14:paraId="1473999F" w14:textId="77777777" w:rsidR="00992B01" w:rsidRDefault="00992B01" w:rsidP="00992B01"/>
    <w:p w14:paraId="3B497B23" w14:textId="0EA614AB" w:rsidR="00992B01" w:rsidRDefault="00992B01" w:rsidP="00992B01">
      <w:r>
        <w:t xml:space="preserve">«Kystlynghei» er i Naturbase nokre stader etter NiN klassifisert som «boreal hei». Dette skuldast at NiN krev at heia skal vera brent for å bli klassifisert som «kystlynghei». Dersom det ikkje er brent blir det «boreal hei». Vi reknar med at denne klassifiseringsregelen kjem til å bli endra og Statsforvaltaren vil for slike område dispensera frå kravet om klassifisert som «kystlynghei» og godkjenne klassifisert som «boreal hei». </w:t>
      </w:r>
    </w:p>
    <w:p w14:paraId="789A9BB1" w14:textId="77777777" w:rsidR="00992B01" w:rsidRDefault="00992B01" w:rsidP="00992B01">
      <w:pPr>
        <w:rPr>
          <w:b/>
          <w:bCs/>
        </w:rPr>
      </w:pPr>
    </w:p>
    <w:p w14:paraId="2E86A9A2" w14:textId="45FC3C1A" w:rsidR="00992B01" w:rsidRPr="00155739" w:rsidRDefault="00992B01" w:rsidP="00992B01">
      <w:pPr>
        <w:rPr>
          <w:b/>
          <w:bCs/>
        </w:rPr>
      </w:pPr>
      <w:r w:rsidRPr="00155739">
        <w:rPr>
          <w:b/>
          <w:bCs/>
        </w:rPr>
        <w:t xml:space="preserve">Telledato for sau som beiter kystlynghei. </w:t>
      </w:r>
    </w:p>
    <w:p w14:paraId="7F2686F6" w14:textId="77777777" w:rsidR="00992B01" w:rsidRDefault="00992B01" w:rsidP="00992B01">
      <w:r>
        <w:t xml:space="preserve">Regelverket har ikkje definert telledato for sauer som beiter kystlynghei, men regelverket seier at tilskotet gis til heilårs beiting. Dyretalet blir difor det </w:t>
      </w:r>
      <w:proofErr w:type="spellStart"/>
      <w:r>
        <w:t>antal</w:t>
      </w:r>
      <w:proofErr w:type="spellEnd"/>
      <w:r>
        <w:t xml:space="preserve"> sau som beiter i den perioden det er færrast sau på arealet. Normalt er dette omkring 1. mars.   </w:t>
      </w:r>
    </w:p>
    <w:p w14:paraId="041486C7" w14:textId="77777777" w:rsidR="00992B01" w:rsidRDefault="00992B01" w:rsidP="00992B01"/>
    <w:p w14:paraId="4EB46452" w14:textId="77777777" w:rsidR="00992B01" w:rsidRDefault="00992B01" w:rsidP="00992B01">
      <w:pPr>
        <w:rPr>
          <w:b/>
          <w:bCs/>
        </w:rPr>
      </w:pPr>
    </w:p>
    <w:p w14:paraId="22833A11" w14:textId="5E53C4DE" w:rsidR="00992B01" w:rsidRPr="00992B01" w:rsidRDefault="00992B01" w:rsidP="00992B01">
      <w:pPr>
        <w:rPr>
          <w:b/>
          <w:bCs/>
          <w:sz w:val="24"/>
          <w:szCs w:val="24"/>
        </w:rPr>
      </w:pPr>
      <w:r w:rsidRPr="00992B01">
        <w:rPr>
          <w:b/>
          <w:bCs/>
          <w:sz w:val="24"/>
          <w:szCs w:val="24"/>
        </w:rPr>
        <w:t xml:space="preserve">Drift av bratt areal </w:t>
      </w:r>
    </w:p>
    <w:p w14:paraId="7516B40C" w14:textId="77777777" w:rsidR="00992B01" w:rsidRDefault="00992B01" w:rsidP="00992B01"/>
    <w:p w14:paraId="1F575361" w14:textId="31D936C3" w:rsidR="00992B01" w:rsidRDefault="00992B01" w:rsidP="00992B01">
      <w:r>
        <w:t>D</w:t>
      </w:r>
      <w:r w:rsidRPr="00512BDC">
        <w:t>ei 15 f</w:t>
      </w:r>
      <w:r>
        <w:t xml:space="preserve">ørste dekara av bratt areal gir ikkje tilskot. Saksbehandlar må manuelt gjera denne reduksjonen, </w:t>
      </w:r>
      <w:proofErr w:type="spellStart"/>
      <w:r>
        <w:t>dvs</w:t>
      </w:r>
      <w:proofErr w:type="spellEnd"/>
      <w:r>
        <w:t xml:space="preserve"> godkjenne 15 dekar mindre enn det som eigentleg er </w:t>
      </w:r>
      <w:proofErr w:type="spellStart"/>
      <w:r>
        <w:t>berettiga</w:t>
      </w:r>
      <w:proofErr w:type="spellEnd"/>
      <w:r>
        <w:t>.</w:t>
      </w:r>
      <w:r w:rsidRPr="00512BDC">
        <w:t xml:space="preserve"> Areal som </w:t>
      </w:r>
      <w:r>
        <w:t>berre</w:t>
      </w:r>
      <w:r w:rsidRPr="00512BDC">
        <w:t xml:space="preserve"> blir beita</w:t>
      </w:r>
      <w:r>
        <w:t>, eller beita og beitepussa, har</w:t>
      </w:r>
      <w:r w:rsidRPr="00512BDC">
        <w:t xml:space="preserve"> ikkje </w:t>
      </w:r>
      <w:r>
        <w:t>rett på</w:t>
      </w:r>
      <w:r w:rsidRPr="00512BDC">
        <w:t xml:space="preserve"> tilsk</w:t>
      </w:r>
      <w:r>
        <w:t>ot til «drift av bratt areal».</w:t>
      </w:r>
    </w:p>
    <w:p w14:paraId="7426625D" w14:textId="77777777" w:rsidR="00992B01" w:rsidRDefault="00992B01" w:rsidP="00992B01"/>
    <w:p w14:paraId="44090BFF" w14:textId="77777777" w:rsidR="00992B01" w:rsidRDefault="00992B01" w:rsidP="00992B01">
      <w:pPr>
        <w:rPr>
          <w:b/>
          <w:bCs/>
        </w:rPr>
      </w:pPr>
    </w:p>
    <w:p w14:paraId="7F98777A" w14:textId="7979784D" w:rsidR="00992B01" w:rsidRPr="00992B01" w:rsidRDefault="00992B01" w:rsidP="00992B01">
      <w:pPr>
        <w:rPr>
          <w:b/>
          <w:bCs/>
          <w:sz w:val="24"/>
          <w:szCs w:val="24"/>
        </w:rPr>
      </w:pPr>
      <w:r w:rsidRPr="00992B01">
        <w:rPr>
          <w:b/>
          <w:bCs/>
          <w:sz w:val="24"/>
          <w:szCs w:val="24"/>
        </w:rPr>
        <w:t>Grasdekt kantsone i åker</w:t>
      </w:r>
    </w:p>
    <w:p w14:paraId="1F4858A6" w14:textId="77777777" w:rsidR="00992B01" w:rsidRDefault="00992B01" w:rsidP="00992B01"/>
    <w:p w14:paraId="172C8087" w14:textId="03062F11" w:rsidR="00992B01" w:rsidRDefault="00992B01" w:rsidP="00992B01">
      <w:r>
        <w:t xml:space="preserve">Denne ordninga har som formål å redusere direkte avrenning over åkerkanten frå åkerareal. Ved godkjenning av slike areal er det viktig at saksbehandlar på kart sjekkar at kantsona ligg slik til at slik avrenning er mogeleg. Det er greitt og ofte praktisk for føretaket å så grasbelte langs heile kanten, men det er likevel ikkje sikkert at heile denne har rett på tilskot. Dersom terrenget er slik at det berre </w:t>
      </w:r>
      <w:r>
        <w:lastRenderedPageBreak/>
        <w:t>er eit punkt det vatnet kan renna over kanten på er det ordninga «grasdekt vassveg» som skal brukast</w:t>
      </w:r>
    </w:p>
    <w:p w14:paraId="214B829A" w14:textId="77777777" w:rsidR="00992B01" w:rsidRPr="00512BDC" w:rsidRDefault="00992B01" w:rsidP="00992B01"/>
    <w:p w14:paraId="18F39077" w14:textId="77777777" w:rsidR="008D1B84" w:rsidRDefault="008D1B84" w:rsidP="00B461C3">
      <w:pPr>
        <w:rPr>
          <w:b/>
          <w:bCs/>
          <w:sz w:val="28"/>
          <w:szCs w:val="28"/>
        </w:rPr>
      </w:pPr>
    </w:p>
    <w:p w14:paraId="7C92167B" w14:textId="3DCDBDB5" w:rsidR="00B461C3" w:rsidRPr="008D1B84" w:rsidRDefault="0094104C" w:rsidP="00B461C3">
      <w:pPr>
        <w:rPr>
          <w:b/>
          <w:bCs/>
          <w:sz w:val="28"/>
          <w:szCs w:val="28"/>
        </w:rPr>
      </w:pPr>
      <w:r w:rsidRPr="008D1B84">
        <w:rPr>
          <w:b/>
          <w:bCs/>
          <w:sz w:val="28"/>
          <w:szCs w:val="28"/>
        </w:rPr>
        <w:t>Søkjarar som på grunn av tekniske problem i eStil RMP ikkje har fått levert søknad.</w:t>
      </w:r>
    </w:p>
    <w:p w14:paraId="550154AD" w14:textId="77777777" w:rsidR="008D1B84" w:rsidRDefault="008D1B84" w:rsidP="00B461C3"/>
    <w:p w14:paraId="20E46B3B" w14:textId="77777777" w:rsidR="00812A79" w:rsidRDefault="008D1B84" w:rsidP="00B461C3">
      <w:r>
        <w:t>Det har også i år vore nokre tekniske utfordringar med eStil RMP som har gjort at enkelte ikkje har fått levert søknaden til rett tid. Problemet har i hovudsak vore hos dei som har</w:t>
      </w:r>
      <w:r w:rsidR="0094104C">
        <w:t xml:space="preserve"> søkt på «</w:t>
      </w:r>
      <w:proofErr w:type="spellStart"/>
      <w:r w:rsidR="0094104C">
        <w:t>underenhet</w:t>
      </w:r>
      <w:proofErr w:type="spellEnd"/>
      <w:r w:rsidR="0094104C">
        <w:t>»</w:t>
      </w:r>
      <w:r>
        <w:t xml:space="preserve"> og difor har fått</w:t>
      </w:r>
      <w:r w:rsidR="0094104C">
        <w:t xml:space="preserve"> </w:t>
      </w:r>
      <w:r w:rsidR="00F02DC0">
        <w:t>«varige» problem i eStil RMP med å levera søknaden</w:t>
      </w:r>
      <w:r>
        <w:t>.</w:t>
      </w:r>
      <w:r w:rsidR="00F02DC0">
        <w:t xml:space="preserve"> </w:t>
      </w:r>
      <w:r>
        <w:t xml:space="preserve">Desse </w:t>
      </w:r>
      <w:r w:rsidR="00F02DC0">
        <w:t xml:space="preserve">har fått feilmeldinga «teknisk feil </w:t>
      </w:r>
      <w:proofErr w:type="spellStart"/>
      <w:r w:rsidR="00F02DC0">
        <w:t>knyttet</w:t>
      </w:r>
      <w:proofErr w:type="spellEnd"/>
      <w:r w:rsidR="00F02DC0">
        <w:t xml:space="preserve"> til «hent inn </w:t>
      </w:r>
      <w:proofErr w:type="spellStart"/>
      <w:r w:rsidR="00F02DC0">
        <w:t>tegnede</w:t>
      </w:r>
      <w:proofErr w:type="spellEnd"/>
      <w:r w:rsidR="00F02DC0">
        <w:t xml:space="preserve"> tiltak» frå kart». Det er og nokre som har søkt på ordninga «Beitinga av verdifulle jordbrukslandskap innmark» (1.1.84.000) som har fått feilmeldinga «feil ved logisk kontroll for tiltaket»</w:t>
      </w:r>
      <w:r w:rsidR="00812A79">
        <w:t xml:space="preserve"> og difor ikkje fått levert søknaden.</w:t>
      </w:r>
      <w:r>
        <w:t xml:space="preserve"> </w:t>
      </w:r>
    </w:p>
    <w:p w14:paraId="74CC6827" w14:textId="77777777" w:rsidR="00812A79" w:rsidRDefault="00812A79" w:rsidP="00B461C3"/>
    <w:p w14:paraId="2FF5BA26" w14:textId="75F28B06" w:rsidR="0094104C" w:rsidRDefault="008D1B84" w:rsidP="00B461C3">
      <w:r>
        <w:t xml:space="preserve">Direktoratet jobbar med feilretting og seier det skal vera i orden i veke 42 eller 43. </w:t>
      </w:r>
    </w:p>
    <w:p w14:paraId="4046AC75" w14:textId="7252C889" w:rsidR="00F02DC0" w:rsidRDefault="00F02DC0" w:rsidP="00B461C3"/>
    <w:p w14:paraId="3508F009" w14:textId="32ED673B" w:rsidR="008D1B84" w:rsidRPr="008D1B84" w:rsidRDefault="008D1B84" w:rsidP="00B461C3">
      <w:pPr>
        <w:rPr>
          <w:b/>
          <w:bCs/>
        </w:rPr>
      </w:pPr>
      <w:r w:rsidRPr="008D1B84">
        <w:rPr>
          <w:b/>
          <w:bCs/>
        </w:rPr>
        <w:t>Teknisk feil i søknadsprogrammet grunn for utsett søknadsfrist</w:t>
      </w:r>
    </w:p>
    <w:p w14:paraId="6CE42D46" w14:textId="7B45A630" w:rsidR="00F02DC0" w:rsidRPr="005066F1" w:rsidRDefault="00F02DC0" w:rsidP="00B461C3">
      <w:r>
        <w:t xml:space="preserve">Tekniske feil i søknadsprogrammet som gjer at søkjarane ikkje får levert søknaden er grunn god nok </w:t>
      </w:r>
      <w:r w:rsidR="00812A79">
        <w:t xml:space="preserve">for </w:t>
      </w:r>
      <w:r>
        <w:t xml:space="preserve">Statsforvaltaren </w:t>
      </w:r>
      <w:r w:rsidR="00812A79">
        <w:t xml:space="preserve">til å gi </w:t>
      </w:r>
      <w:r>
        <w:t>utsett søknadsfrist. F</w:t>
      </w:r>
      <w:r w:rsidR="008D1B84">
        <w:t>ø</w:t>
      </w:r>
      <w:r>
        <w:t>retaket må sjølv</w:t>
      </w:r>
      <w:r w:rsidR="00812A79">
        <w:t>,</w:t>
      </w:r>
      <w:r>
        <w:t xml:space="preserve"> </w:t>
      </w:r>
      <w:r w:rsidR="008D1B84">
        <w:t>eventuelt med hjelp av kommunen</w:t>
      </w:r>
      <w:r w:rsidR="00812A79">
        <w:t>,</w:t>
      </w:r>
      <w:r w:rsidR="008D1B84" w:rsidRPr="008D1B84">
        <w:t xml:space="preserve"> </w:t>
      </w:r>
      <w:r w:rsidR="008D1B84">
        <w:t xml:space="preserve">senda ein kort søknad om å få utsett frist. Det må i søknaden koma fram kva for ein teknisk feil (feilmelding) som var årsaka til at ein ikkje fekk levert søknaden. </w:t>
      </w:r>
      <w:r>
        <w:t xml:space="preserve"> </w:t>
      </w:r>
    </w:p>
    <w:p w14:paraId="0B756A1E" w14:textId="77777777" w:rsidR="00B461C3" w:rsidRPr="005066F1" w:rsidRDefault="00B461C3" w:rsidP="00B461C3"/>
    <w:p w14:paraId="3274B713" w14:textId="77777777" w:rsidR="00B461C3" w:rsidRPr="005066F1"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5066F1" w14:paraId="10C55344" w14:textId="77777777" w:rsidTr="003106D9">
        <w:tc>
          <w:tcPr>
            <w:tcW w:w="4536" w:type="dxa"/>
          </w:tcPr>
          <w:p w14:paraId="42A013E4" w14:textId="741AA58E" w:rsidR="00A81FDC" w:rsidRPr="00812A79" w:rsidRDefault="00A81FDC" w:rsidP="00A81FDC">
            <w:r w:rsidRPr="00812A79">
              <w:t xml:space="preserve">Med </w:t>
            </w:r>
            <w:r w:rsidR="000A0ABD" w:rsidRPr="00812A79">
              <w:t>helsing</w:t>
            </w:r>
          </w:p>
          <w:p w14:paraId="1227F051" w14:textId="77777777" w:rsidR="00A23FF2" w:rsidRPr="00812A79" w:rsidRDefault="00A23FF2" w:rsidP="00A81FDC"/>
          <w:p w14:paraId="213B08C7" w14:textId="36A29379" w:rsidR="00A81FDC" w:rsidRPr="00812A79" w:rsidRDefault="00D56068" w:rsidP="00A81FDC">
            <w:bookmarkStart w:id="18" w:name="ADMLEDERNAVN"/>
            <w:r w:rsidRPr="00812A79">
              <w:t>Anstein Lyngstad</w:t>
            </w:r>
            <w:bookmarkEnd w:id="18"/>
            <w:r w:rsidR="00A81FDC" w:rsidRPr="00812A79">
              <w:t xml:space="preserve"> (e.f.)</w:t>
            </w:r>
          </w:p>
          <w:p w14:paraId="70CC7A5B" w14:textId="04C8C441" w:rsidR="00A81FDC" w:rsidRPr="005066F1" w:rsidRDefault="00812A79" w:rsidP="00EC3515">
            <w:bookmarkStart w:id="19" w:name="ADMLEDERSTILLING"/>
            <w:r>
              <w:t>S</w:t>
            </w:r>
            <w:r w:rsidR="00D56068">
              <w:t>eksjonsleder</w:t>
            </w:r>
            <w:bookmarkEnd w:id="19"/>
            <w:r>
              <w:t xml:space="preserve"> jordbruk og mat</w:t>
            </w:r>
          </w:p>
        </w:tc>
        <w:tc>
          <w:tcPr>
            <w:tcW w:w="284" w:type="dxa"/>
          </w:tcPr>
          <w:p w14:paraId="6F7EDA82" w14:textId="77777777" w:rsidR="00A81FDC" w:rsidRPr="005066F1" w:rsidRDefault="00A81FDC" w:rsidP="00A81FDC"/>
        </w:tc>
        <w:tc>
          <w:tcPr>
            <w:tcW w:w="4552" w:type="dxa"/>
          </w:tcPr>
          <w:p w14:paraId="7091AB54" w14:textId="77777777" w:rsidR="003106D9" w:rsidRPr="005066F1" w:rsidRDefault="003106D9" w:rsidP="00A81FDC"/>
          <w:p w14:paraId="1F66AA55" w14:textId="77777777" w:rsidR="00894E5F" w:rsidRPr="005066F1" w:rsidRDefault="00894E5F" w:rsidP="00A81FDC"/>
          <w:p w14:paraId="40A13940" w14:textId="721170BD" w:rsidR="00A81FDC" w:rsidRPr="005066F1" w:rsidRDefault="00D56068" w:rsidP="00A81FDC">
            <w:bookmarkStart w:id="20" w:name="SAKSBEHANDLERNAVN2"/>
            <w:r>
              <w:t>Anders Dalland Mona</w:t>
            </w:r>
            <w:bookmarkEnd w:id="20"/>
          </w:p>
          <w:p w14:paraId="041E12D6" w14:textId="7E7B47B4" w:rsidR="00A60E0F" w:rsidRPr="005066F1" w:rsidRDefault="00812A79" w:rsidP="00A81FDC">
            <w:bookmarkStart w:id="21" w:name="SAKSBEHANDLERSTILLING"/>
            <w:r>
              <w:t>F</w:t>
            </w:r>
            <w:r w:rsidR="00D56068">
              <w:t>ylkesagronom</w:t>
            </w:r>
            <w:bookmarkEnd w:id="21"/>
          </w:p>
        </w:tc>
      </w:tr>
    </w:tbl>
    <w:p w14:paraId="7D182207" w14:textId="77777777" w:rsidR="00A81FDC" w:rsidRPr="005066F1" w:rsidRDefault="00A81FDC" w:rsidP="00A81FDC"/>
    <w:p w14:paraId="21DE6DF1" w14:textId="77777777" w:rsidR="00A81FDC" w:rsidRPr="005066F1" w:rsidRDefault="004A5240" w:rsidP="00A81FDC">
      <w:pPr>
        <w:rPr>
          <w:i/>
        </w:rPr>
      </w:pPr>
      <w:r w:rsidRPr="005066F1">
        <w:rPr>
          <w:i/>
        </w:rPr>
        <w:t>D</w:t>
      </w:r>
      <w:r w:rsidR="00060003" w:rsidRPr="005066F1">
        <w:rPr>
          <w:i/>
        </w:rPr>
        <w:t xml:space="preserve">okumentet er </w:t>
      </w:r>
      <w:r w:rsidRPr="005066F1">
        <w:rPr>
          <w:i/>
        </w:rPr>
        <w:t xml:space="preserve">elektronisk </w:t>
      </w:r>
      <w:r w:rsidR="00060003" w:rsidRPr="005066F1">
        <w:rPr>
          <w:i/>
        </w:rPr>
        <w:t>godkjent</w:t>
      </w:r>
    </w:p>
    <w:p w14:paraId="6D2C72B7" w14:textId="77777777" w:rsidR="00A81FDC" w:rsidRPr="005066F1" w:rsidRDefault="00A81FDC" w:rsidP="00A81FDC"/>
    <w:p w14:paraId="5D39D136" w14:textId="77777777" w:rsidR="00A81FDC" w:rsidRPr="005066F1" w:rsidRDefault="00A81FDC" w:rsidP="00A81FDC"/>
    <w:p w14:paraId="0E1BF2D7" w14:textId="77777777" w:rsidR="00742E78" w:rsidRPr="005066F1" w:rsidRDefault="00742E78" w:rsidP="00A81FDC">
      <w:bookmarkStart w:id="22" w:name="Vedlegg"/>
      <w:bookmarkEnd w:id="22"/>
    </w:p>
    <w:p w14:paraId="613FDCFF" w14:textId="77777777" w:rsidR="00A81FDC" w:rsidRPr="005066F1" w:rsidRDefault="00A81FDC" w:rsidP="00A81FDC"/>
    <w:p w14:paraId="6A0E19FF" w14:textId="77777777" w:rsidR="00DE5303" w:rsidRPr="005066F1" w:rsidRDefault="00DE5303" w:rsidP="00A81FDC">
      <w:bookmarkStart w:id="23" w:name="KopiTilTabell"/>
      <w:bookmarkEnd w:id="23"/>
    </w:p>
    <w:p w14:paraId="3A08330A" w14:textId="77777777" w:rsidR="007E47E4" w:rsidRPr="005066F1" w:rsidRDefault="007E47E4" w:rsidP="00A81FDC"/>
    <w:p w14:paraId="679AD395" w14:textId="77777777" w:rsidR="00F22C69" w:rsidRDefault="00F22C69" w:rsidP="000D3220">
      <w:bookmarkStart w:id="24" w:name="Eksternemottakeretabell"/>
      <w:bookmarkEnd w:id="24"/>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1BF8F" w14:textId="77777777" w:rsidR="00475FED" w:rsidRDefault="00475FED" w:rsidP="00A81FDC">
      <w:r>
        <w:separator/>
      </w:r>
    </w:p>
  </w:endnote>
  <w:endnote w:type="continuationSeparator" w:id="0">
    <w:p w14:paraId="134B65FE" w14:textId="77777777" w:rsidR="00475FED" w:rsidRDefault="00475FED"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SemiBold">
    <w:panose1 w:val="020B07060308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1CD2" w14:textId="77777777" w:rsidR="0041272E" w:rsidRDefault="0041272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9D52" w14:textId="77777777" w:rsidR="0041272E" w:rsidRDefault="0041272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C5169C" w:rsidRPr="00D76882" w14:paraId="243084DC" w14:textId="77777777" w:rsidTr="00C42FFC">
      <w:tc>
        <w:tcPr>
          <w:tcW w:w="2155" w:type="dxa"/>
          <w:tcBorders>
            <w:top w:val="nil"/>
            <w:bottom w:val="nil"/>
          </w:tcBorders>
        </w:tcPr>
        <w:p w14:paraId="1C0EDC2F" w14:textId="77777777" w:rsidR="00C5169C" w:rsidRDefault="00C5169C" w:rsidP="00B67D60">
          <w:pPr>
            <w:pStyle w:val="Bunntekst"/>
            <w:rPr>
              <w:sz w:val="14"/>
              <w:szCs w:val="14"/>
            </w:rPr>
          </w:pPr>
        </w:p>
      </w:tc>
      <w:tc>
        <w:tcPr>
          <w:tcW w:w="227" w:type="dxa"/>
          <w:tcBorders>
            <w:top w:val="nil"/>
            <w:bottom w:val="nil"/>
          </w:tcBorders>
        </w:tcPr>
        <w:p w14:paraId="0121C0BC" w14:textId="77777777" w:rsidR="00C5169C" w:rsidRPr="00D76882" w:rsidRDefault="00C5169C" w:rsidP="00B67D60">
          <w:pPr>
            <w:pStyle w:val="Bunntekst"/>
            <w:rPr>
              <w:sz w:val="14"/>
              <w:szCs w:val="14"/>
            </w:rPr>
          </w:pPr>
        </w:p>
      </w:tc>
      <w:tc>
        <w:tcPr>
          <w:tcW w:w="2155" w:type="dxa"/>
          <w:tcBorders>
            <w:top w:val="nil"/>
            <w:bottom w:val="nil"/>
          </w:tcBorders>
        </w:tcPr>
        <w:p w14:paraId="06EB8E9E" w14:textId="77777777" w:rsidR="00C5169C" w:rsidRDefault="00C5169C" w:rsidP="00B67D60">
          <w:pPr>
            <w:pStyle w:val="Bunntekst"/>
            <w:rPr>
              <w:sz w:val="14"/>
              <w:szCs w:val="14"/>
            </w:rPr>
          </w:pPr>
        </w:p>
      </w:tc>
      <w:tc>
        <w:tcPr>
          <w:tcW w:w="227" w:type="dxa"/>
          <w:tcBorders>
            <w:top w:val="nil"/>
            <w:bottom w:val="nil"/>
          </w:tcBorders>
        </w:tcPr>
        <w:p w14:paraId="15CAFE39" w14:textId="77777777" w:rsidR="00C5169C" w:rsidRPr="00D76882" w:rsidRDefault="00C5169C" w:rsidP="00B67D60">
          <w:pPr>
            <w:pStyle w:val="Bunntekst"/>
            <w:rPr>
              <w:sz w:val="14"/>
              <w:szCs w:val="14"/>
            </w:rPr>
          </w:pPr>
        </w:p>
      </w:tc>
      <w:tc>
        <w:tcPr>
          <w:tcW w:w="2155" w:type="dxa"/>
          <w:tcBorders>
            <w:top w:val="nil"/>
            <w:bottom w:val="nil"/>
          </w:tcBorders>
        </w:tcPr>
        <w:p w14:paraId="27877FE0" w14:textId="77777777" w:rsidR="00C5169C" w:rsidRDefault="00C5169C" w:rsidP="00B67D60">
          <w:pPr>
            <w:pStyle w:val="Bunntekst"/>
            <w:rPr>
              <w:sz w:val="14"/>
              <w:szCs w:val="14"/>
            </w:rPr>
          </w:pPr>
        </w:p>
      </w:tc>
      <w:tc>
        <w:tcPr>
          <w:tcW w:w="227" w:type="dxa"/>
          <w:tcBorders>
            <w:top w:val="nil"/>
            <w:bottom w:val="nil"/>
          </w:tcBorders>
        </w:tcPr>
        <w:p w14:paraId="1441882F" w14:textId="77777777" w:rsidR="00C5169C" w:rsidRPr="00D76882" w:rsidRDefault="00C5169C" w:rsidP="00B67D60">
          <w:pPr>
            <w:pStyle w:val="Bunntekst"/>
            <w:rPr>
              <w:sz w:val="14"/>
              <w:szCs w:val="14"/>
            </w:rPr>
          </w:pPr>
        </w:p>
      </w:tc>
      <w:tc>
        <w:tcPr>
          <w:tcW w:w="2155" w:type="dxa"/>
          <w:tcBorders>
            <w:top w:val="nil"/>
            <w:bottom w:val="nil"/>
          </w:tcBorders>
        </w:tcPr>
        <w:p w14:paraId="31124010" w14:textId="77777777" w:rsidR="00C5169C" w:rsidRDefault="00C5169C" w:rsidP="00B67D60">
          <w:pPr>
            <w:pStyle w:val="Bunntekst"/>
            <w:rPr>
              <w:sz w:val="14"/>
              <w:szCs w:val="14"/>
            </w:rPr>
          </w:pPr>
        </w:p>
      </w:tc>
    </w:tr>
    <w:tr w:rsidR="00B67D60" w:rsidRPr="00D76882" w14:paraId="46C47300" w14:textId="77777777" w:rsidTr="00C42FFC">
      <w:tc>
        <w:tcPr>
          <w:tcW w:w="2155" w:type="dxa"/>
          <w:tcBorders>
            <w:top w:val="nil"/>
            <w:bottom w:val="single" w:sz="4" w:space="0" w:color="auto"/>
          </w:tcBorders>
        </w:tcPr>
        <w:p w14:paraId="7465C259" w14:textId="77777777" w:rsidR="00B67D60" w:rsidRDefault="00B67D60" w:rsidP="00B67D60">
          <w:pPr>
            <w:pStyle w:val="Bunntekst"/>
            <w:rPr>
              <w:sz w:val="14"/>
              <w:szCs w:val="14"/>
            </w:rPr>
          </w:pPr>
        </w:p>
      </w:tc>
      <w:tc>
        <w:tcPr>
          <w:tcW w:w="227" w:type="dxa"/>
          <w:tcBorders>
            <w:top w:val="nil"/>
            <w:bottom w:val="single" w:sz="4" w:space="0" w:color="auto"/>
          </w:tcBorders>
        </w:tcPr>
        <w:p w14:paraId="7EDDD164"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1EB6F812" w14:textId="77777777" w:rsidR="00B67D60" w:rsidRDefault="00B67D60" w:rsidP="00B67D60">
          <w:pPr>
            <w:pStyle w:val="Bunntekst"/>
            <w:rPr>
              <w:sz w:val="14"/>
              <w:szCs w:val="14"/>
            </w:rPr>
          </w:pPr>
        </w:p>
      </w:tc>
      <w:tc>
        <w:tcPr>
          <w:tcW w:w="227" w:type="dxa"/>
          <w:tcBorders>
            <w:top w:val="nil"/>
            <w:bottom w:val="single" w:sz="4" w:space="0" w:color="auto"/>
          </w:tcBorders>
        </w:tcPr>
        <w:p w14:paraId="6C577F10"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3B26F50" w14:textId="77777777" w:rsidR="00B67D60" w:rsidRDefault="00B67D60" w:rsidP="00B67D60">
          <w:pPr>
            <w:pStyle w:val="Bunntekst"/>
            <w:rPr>
              <w:sz w:val="14"/>
              <w:szCs w:val="14"/>
            </w:rPr>
          </w:pPr>
        </w:p>
      </w:tc>
      <w:tc>
        <w:tcPr>
          <w:tcW w:w="227" w:type="dxa"/>
          <w:tcBorders>
            <w:top w:val="nil"/>
            <w:bottom w:val="single" w:sz="4" w:space="0" w:color="auto"/>
          </w:tcBorders>
        </w:tcPr>
        <w:p w14:paraId="1F653C7C"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9CE3498" w14:textId="77777777" w:rsidR="00B67D60" w:rsidRDefault="00B67D60" w:rsidP="00B67D60">
          <w:pPr>
            <w:pStyle w:val="Bunntekst"/>
            <w:rPr>
              <w:sz w:val="14"/>
              <w:szCs w:val="14"/>
            </w:rPr>
          </w:pPr>
        </w:p>
      </w:tc>
    </w:tr>
    <w:tr w:rsidR="008E50A5" w:rsidRPr="0094104C" w14:paraId="7C28D231" w14:textId="77777777" w:rsidTr="00C42FFC">
      <w:tc>
        <w:tcPr>
          <w:tcW w:w="2155" w:type="dxa"/>
          <w:tcBorders>
            <w:top w:val="single" w:sz="4" w:space="0" w:color="auto"/>
          </w:tcBorders>
        </w:tcPr>
        <w:p w14:paraId="797CA149" w14:textId="77777777" w:rsidR="00B67D60" w:rsidRPr="00475FED" w:rsidRDefault="00B67D60" w:rsidP="00B67D60">
          <w:pPr>
            <w:pStyle w:val="Bunntekst"/>
            <w:rPr>
              <w:sz w:val="14"/>
              <w:szCs w:val="14"/>
              <w:lang w:val="nb-NO"/>
            </w:rPr>
          </w:pPr>
          <w:r w:rsidRPr="00475FED">
            <w:rPr>
              <w:sz w:val="14"/>
              <w:szCs w:val="14"/>
              <w:lang w:val="nb-NO"/>
            </w:rPr>
            <w:t>E-postadresse:</w:t>
          </w:r>
        </w:p>
        <w:p w14:paraId="3D446900" w14:textId="77777777" w:rsidR="00B67D60" w:rsidRPr="00475FED" w:rsidRDefault="00906DA0" w:rsidP="00B67D60">
          <w:pPr>
            <w:pStyle w:val="Bunntekst"/>
            <w:rPr>
              <w:sz w:val="14"/>
              <w:szCs w:val="14"/>
              <w:lang w:val="nb-NO"/>
            </w:rPr>
          </w:pPr>
          <w:r w:rsidRPr="00475FED">
            <w:rPr>
              <w:rStyle w:val="Hyperkobling"/>
              <w:color w:val="auto"/>
              <w:sz w:val="14"/>
              <w:szCs w:val="14"/>
              <w:lang w:val="nb-NO"/>
            </w:rPr>
            <w:t>sf</w:t>
          </w:r>
          <w:r w:rsidR="00E32123" w:rsidRPr="00475FED">
            <w:rPr>
              <w:rStyle w:val="Hyperkobling"/>
              <w:color w:val="auto"/>
              <w:sz w:val="14"/>
              <w:szCs w:val="14"/>
              <w:lang w:val="nb-NO"/>
            </w:rPr>
            <w:t>tl</w:t>
          </w:r>
          <w:r w:rsidR="006F5364" w:rsidRPr="00475FED">
            <w:rPr>
              <w:rStyle w:val="Hyperkobling"/>
              <w:color w:val="auto"/>
              <w:sz w:val="14"/>
              <w:szCs w:val="14"/>
              <w:lang w:val="nb-NO"/>
            </w:rPr>
            <w:t>post</w:t>
          </w:r>
          <w:r w:rsidR="00B67D60" w:rsidRPr="00475FED">
            <w:rPr>
              <w:rStyle w:val="Hyperkobling"/>
              <w:color w:val="auto"/>
              <w:sz w:val="14"/>
              <w:szCs w:val="14"/>
              <w:lang w:val="nb-NO"/>
            </w:rPr>
            <w:t>@</w:t>
          </w:r>
          <w:r w:rsidRPr="00475FED">
            <w:rPr>
              <w:rStyle w:val="Hyperkobling"/>
              <w:color w:val="auto"/>
              <w:sz w:val="14"/>
              <w:szCs w:val="14"/>
              <w:lang w:val="nb-NO"/>
            </w:rPr>
            <w:t>statsforvalteren</w:t>
          </w:r>
          <w:r w:rsidR="00B67D60" w:rsidRPr="00475FED">
            <w:rPr>
              <w:rStyle w:val="Hyperkobling"/>
              <w:color w:val="auto"/>
              <w:sz w:val="14"/>
              <w:szCs w:val="14"/>
              <w:lang w:val="nb-NO"/>
            </w:rPr>
            <w:t>.no</w:t>
          </w:r>
          <w:r w:rsidR="00B67D60" w:rsidRPr="00475FED">
            <w:rPr>
              <w:sz w:val="14"/>
              <w:szCs w:val="14"/>
              <w:lang w:val="nb-NO"/>
            </w:rPr>
            <w:t xml:space="preserve"> Sikker melding:</w:t>
          </w:r>
        </w:p>
        <w:p w14:paraId="047D0C08" w14:textId="77777777" w:rsidR="00B67D60" w:rsidRPr="00475FED" w:rsidRDefault="00B67D60" w:rsidP="00B67D60">
          <w:pPr>
            <w:pStyle w:val="Bunntekst"/>
            <w:rPr>
              <w:sz w:val="14"/>
              <w:szCs w:val="14"/>
              <w:lang w:val="nb-NO"/>
            </w:rPr>
          </w:pPr>
          <w:r w:rsidRPr="00475FED">
            <w:rPr>
              <w:rStyle w:val="Hyperkobling"/>
              <w:color w:val="auto"/>
              <w:sz w:val="14"/>
              <w:szCs w:val="14"/>
              <w:lang w:val="nb-NO"/>
            </w:rPr>
            <w:t>www.</w:t>
          </w:r>
          <w:r w:rsidR="00906DA0" w:rsidRPr="00475FED">
            <w:rPr>
              <w:rStyle w:val="Hyperkobling"/>
              <w:color w:val="auto"/>
              <w:sz w:val="14"/>
              <w:szCs w:val="14"/>
              <w:lang w:val="nb-NO"/>
            </w:rPr>
            <w:t>statsforvalteren</w:t>
          </w:r>
          <w:r w:rsidRPr="00475FED">
            <w:rPr>
              <w:rStyle w:val="Hyperkobling"/>
              <w:color w:val="auto"/>
              <w:sz w:val="14"/>
              <w:szCs w:val="14"/>
              <w:lang w:val="nb-NO"/>
            </w:rPr>
            <w:t>.no/melding</w:t>
          </w:r>
        </w:p>
      </w:tc>
      <w:tc>
        <w:tcPr>
          <w:tcW w:w="227" w:type="dxa"/>
          <w:tcBorders>
            <w:top w:val="single" w:sz="4" w:space="0" w:color="auto"/>
          </w:tcBorders>
        </w:tcPr>
        <w:p w14:paraId="4C433904" w14:textId="77777777" w:rsidR="00B67D60" w:rsidRPr="00475FED" w:rsidRDefault="00B67D60" w:rsidP="00B67D60">
          <w:pPr>
            <w:pStyle w:val="Bunntekst"/>
            <w:rPr>
              <w:sz w:val="14"/>
              <w:szCs w:val="14"/>
              <w:lang w:val="nb-NO"/>
            </w:rPr>
          </w:pPr>
        </w:p>
      </w:tc>
      <w:tc>
        <w:tcPr>
          <w:tcW w:w="2155" w:type="dxa"/>
          <w:tcBorders>
            <w:top w:val="single" w:sz="4" w:space="0" w:color="auto"/>
          </w:tcBorders>
        </w:tcPr>
        <w:p w14:paraId="49EF2B70" w14:textId="77777777" w:rsidR="00B67D60" w:rsidRPr="008E50A5" w:rsidRDefault="00B67D60" w:rsidP="00B67D60">
          <w:pPr>
            <w:pStyle w:val="Bunntekst"/>
            <w:rPr>
              <w:sz w:val="14"/>
              <w:szCs w:val="14"/>
            </w:rPr>
          </w:pPr>
          <w:r w:rsidRPr="008E50A5">
            <w:rPr>
              <w:sz w:val="14"/>
              <w:szCs w:val="14"/>
            </w:rPr>
            <w:t>Postadresse:</w:t>
          </w:r>
        </w:p>
        <w:p w14:paraId="7762517C" w14:textId="77777777" w:rsidR="00B67D60" w:rsidRPr="008E50A5" w:rsidRDefault="00E32123" w:rsidP="00B67D60">
          <w:pPr>
            <w:pStyle w:val="Bunntekst"/>
            <w:rPr>
              <w:sz w:val="14"/>
              <w:szCs w:val="14"/>
            </w:rPr>
          </w:pPr>
          <w:r>
            <w:rPr>
              <w:sz w:val="14"/>
              <w:szCs w:val="14"/>
            </w:rPr>
            <w:t>Postboks 2600</w:t>
          </w:r>
        </w:p>
        <w:p w14:paraId="11DCEE2C" w14:textId="77777777" w:rsidR="00B67D60" w:rsidRPr="008E50A5" w:rsidRDefault="00E32123" w:rsidP="00B67D60">
          <w:pPr>
            <w:pStyle w:val="Bunntekst"/>
            <w:rPr>
              <w:sz w:val="14"/>
              <w:szCs w:val="14"/>
            </w:rPr>
          </w:pPr>
          <w:r>
            <w:rPr>
              <w:sz w:val="14"/>
              <w:szCs w:val="14"/>
            </w:rPr>
            <w:t>7734 Steinkjer</w:t>
          </w:r>
        </w:p>
      </w:tc>
      <w:tc>
        <w:tcPr>
          <w:tcW w:w="227" w:type="dxa"/>
          <w:tcBorders>
            <w:top w:val="single" w:sz="4" w:space="0" w:color="auto"/>
          </w:tcBorders>
        </w:tcPr>
        <w:p w14:paraId="63A9C5A7" w14:textId="77777777" w:rsidR="00B67D60" w:rsidRPr="008E50A5" w:rsidRDefault="00B67D60" w:rsidP="00B67D60">
          <w:pPr>
            <w:pStyle w:val="Bunntekst"/>
            <w:rPr>
              <w:sz w:val="14"/>
              <w:szCs w:val="14"/>
            </w:rPr>
          </w:pPr>
        </w:p>
      </w:tc>
      <w:tc>
        <w:tcPr>
          <w:tcW w:w="2155" w:type="dxa"/>
          <w:tcBorders>
            <w:top w:val="single" w:sz="4" w:space="0" w:color="auto"/>
          </w:tcBorders>
        </w:tcPr>
        <w:p w14:paraId="0310964D" w14:textId="77777777" w:rsidR="00B67D60" w:rsidRPr="008E50A5" w:rsidRDefault="00B67D60" w:rsidP="00B67D60">
          <w:pPr>
            <w:pStyle w:val="Bunntekst"/>
            <w:rPr>
              <w:sz w:val="14"/>
              <w:szCs w:val="14"/>
            </w:rPr>
          </w:pPr>
          <w:r w:rsidRPr="008E50A5">
            <w:rPr>
              <w:sz w:val="14"/>
              <w:szCs w:val="14"/>
            </w:rPr>
            <w:t>Besøksadresse:</w:t>
          </w:r>
        </w:p>
        <w:p w14:paraId="2E62BA67" w14:textId="77777777" w:rsidR="00B67D60" w:rsidRPr="008E50A5" w:rsidRDefault="00E32123" w:rsidP="00B67D60">
          <w:pPr>
            <w:pStyle w:val="Bunntekst"/>
            <w:rPr>
              <w:sz w:val="14"/>
              <w:szCs w:val="14"/>
            </w:rPr>
          </w:pPr>
          <w:r>
            <w:rPr>
              <w:sz w:val="14"/>
              <w:szCs w:val="14"/>
            </w:rPr>
            <w:t>Strandveien 38, Steinkjer</w:t>
          </w:r>
        </w:p>
        <w:p w14:paraId="1C95BE44" w14:textId="77777777" w:rsidR="00B67D60" w:rsidRPr="008E50A5" w:rsidRDefault="00E32123" w:rsidP="00B67D60">
          <w:pPr>
            <w:pStyle w:val="Bunntekst"/>
            <w:rPr>
              <w:sz w:val="14"/>
              <w:szCs w:val="14"/>
            </w:rPr>
          </w:pPr>
          <w:r>
            <w:rPr>
              <w:sz w:val="14"/>
              <w:szCs w:val="14"/>
            </w:rPr>
            <w:t xml:space="preserve">Prinsens </w:t>
          </w:r>
          <w:proofErr w:type="spellStart"/>
          <w:r>
            <w:rPr>
              <w:sz w:val="14"/>
              <w:szCs w:val="14"/>
            </w:rPr>
            <w:t>gt</w:t>
          </w:r>
          <w:proofErr w:type="spellEnd"/>
          <w:r>
            <w:rPr>
              <w:sz w:val="14"/>
              <w:szCs w:val="14"/>
            </w:rPr>
            <w:t>. 1., Trondheim</w:t>
          </w:r>
        </w:p>
      </w:tc>
      <w:tc>
        <w:tcPr>
          <w:tcW w:w="227" w:type="dxa"/>
          <w:tcBorders>
            <w:top w:val="single" w:sz="4" w:space="0" w:color="auto"/>
          </w:tcBorders>
        </w:tcPr>
        <w:p w14:paraId="37B0EDB4" w14:textId="77777777" w:rsidR="00B67D60" w:rsidRPr="008E50A5" w:rsidRDefault="00B67D60" w:rsidP="00B67D60">
          <w:pPr>
            <w:pStyle w:val="Bunntekst"/>
            <w:rPr>
              <w:sz w:val="14"/>
              <w:szCs w:val="14"/>
            </w:rPr>
          </w:pPr>
        </w:p>
      </w:tc>
      <w:tc>
        <w:tcPr>
          <w:tcW w:w="2155" w:type="dxa"/>
          <w:tcBorders>
            <w:top w:val="single" w:sz="4" w:space="0" w:color="auto"/>
          </w:tcBorders>
        </w:tcPr>
        <w:p w14:paraId="199BD24F" w14:textId="77777777" w:rsidR="00B67D60" w:rsidRPr="00475FED" w:rsidRDefault="00B67D60" w:rsidP="00B67D60">
          <w:pPr>
            <w:pStyle w:val="Bunntekst"/>
            <w:rPr>
              <w:sz w:val="14"/>
              <w:szCs w:val="14"/>
              <w:lang w:val="nb-NO"/>
            </w:rPr>
          </w:pPr>
          <w:r w:rsidRPr="00475FED">
            <w:rPr>
              <w:sz w:val="14"/>
              <w:szCs w:val="14"/>
              <w:lang w:val="nb-NO"/>
            </w:rPr>
            <w:t xml:space="preserve">Telefon: </w:t>
          </w:r>
          <w:r w:rsidR="00E32123" w:rsidRPr="00475FED">
            <w:rPr>
              <w:sz w:val="14"/>
              <w:szCs w:val="14"/>
              <w:lang w:val="nb-NO"/>
            </w:rPr>
            <w:t>74 16 80 00</w:t>
          </w:r>
        </w:p>
        <w:p w14:paraId="09DFD1DB" w14:textId="77777777" w:rsidR="00B67D60" w:rsidRPr="00906DA0" w:rsidRDefault="00B67D60" w:rsidP="00600844">
          <w:pPr>
            <w:pStyle w:val="Ingenmellomrom"/>
            <w:rPr>
              <w:lang w:val="nb-NO"/>
            </w:rPr>
          </w:pPr>
          <w:r w:rsidRPr="00906DA0">
            <w:rPr>
              <w:rStyle w:val="Hyperkobling"/>
              <w:color w:val="auto"/>
              <w:sz w:val="14"/>
              <w:szCs w:val="14"/>
              <w:lang w:val="nb-NO"/>
            </w:rPr>
            <w:t>www.</w:t>
          </w:r>
          <w:r w:rsidR="00906DA0">
            <w:rPr>
              <w:rStyle w:val="Hyperkobling"/>
              <w:color w:val="auto"/>
              <w:sz w:val="14"/>
              <w:szCs w:val="14"/>
              <w:lang w:val="nb-NO"/>
            </w:rPr>
            <w:t>statsforvalteren</w:t>
          </w:r>
          <w:r w:rsidRPr="00906DA0">
            <w:rPr>
              <w:rStyle w:val="Hyperkobling"/>
              <w:color w:val="auto"/>
              <w:sz w:val="14"/>
              <w:szCs w:val="14"/>
              <w:lang w:val="nb-NO"/>
            </w:rPr>
            <w:t>.no/</w:t>
          </w:r>
          <w:r w:rsidR="00E32123" w:rsidRPr="00906DA0">
            <w:rPr>
              <w:rStyle w:val="Hyperkobling"/>
              <w:color w:val="auto"/>
              <w:sz w:val="14"/>
              <w:szCs w:val="14"/>
              <w:lang w:val="nb-NO"/>
            </w:rPr>
            <w:t>tl</w:t>
          </w:r>
        </w:p>
        <w:p w14:paraId="6A827807" w14:textId="77777777" w:rsidR="00B67D60" w:rsidRPr="00475FED" w:rsidRDefault="00B67D60" w:rsidP="00B67D60">
          <w:pPr>
            <w:pStyle w:val="Bunntekst"/>
            <w:rPr>
              <w:sz w:val="14"/>
              <w:szCs w:val="14"/>
              <w:lang w:val="nb-NO"/>
            </w:rPr>
          </w:pPr>
        </w:p>
        <w:p w14:paraId="2A438A99" w14:textId="77777777" w:rsidR="00B67D60" w:rsidRPr="00475FED" w:rsidRDefault="00B67D60" w:rsidP="00B67D60">
          <w:pPr>
            <w:pStyle w:val="Bunntekst"/>
            <w:rPr>
              <w:sz w:val="14"/>
              <w:szCs w:val="14"/>
              <w:lang w:val="nb-NO"/>
            </w:rPr>
          </w:pPr>
          <w:r w:rsidRPr="00475FED">
            <w:rPr>
              <w:sz w:val="14"/>
              <w:szCs w:val="14"/>
              <w:lang w:val="nb-NO"/>
            </w:rPr>
            <w:t xml:space="preserve">Org.nr. </w:t>
          </w:r>
          <w:r w:rsidR="00CA193F" w:rsidRPr="00475FED">
            <w:rPr>
              <w:sz w:val="14"/>
              <w:szCs w:val="14"/>
              <w:lang w:val="nb-NO"/>
            </w:rPr>
            <w:t>974 76</w:t>
          </w:r>
          <w:r w:rsidR="0041272E" w:rsidRPr="00475FED">
            <w:rPr>
              <w:sz w:val="14"/>
              <w:szCs w:val="14"/>
              <w:lang w:val="nb-NO"/>
            </w:rPr>
            <w:t>4</w:t>
          </w:r>
          <w:r w:rsidR="00CA193F" w:rsidRPr="00475FED">
            <w:rPr>
              <w:sz w:val="14"/>
              <w:szCs w:val="14"/>
              <w:lang w:val="nb-NO"/>
            </w:rPr>
            <w:t xml:space="preserve"> </w:t>
          </w:r>
          <w:r w:rsidR="00E32123" w:rsidRPr="00475FED">
            <w:rPr>
              <w:sz w:val="14"/>
              <w:szCs w:val="14"/>
              <w:lang w:val="nb-NO"/>
            </w:rPr>
            <w:t>350</w:t>
          </w:r>
        </w:p>
      </w:tc>
    </w:tr>
  </w:tbl>
  <w:p w14:paraId="45148DFF" w14:textId="77777777" w:rsidR="00B67D60" w:rsidRPr="00475FED" w:rsidRDefault="00B67D60" w:rsidP="00C5169C">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74316" w14:textId="77777777" w:rsidR="00475FED" w:rsidRDefault="00475FED" w:rsidP="00A81FDC">
      <w:r>
        <w:separator/>
      </w:r>
    </w:p>
  </w:footnote>
  <w:footnote w:type="continuationSeparator" w:id="0">
    <w:p w14:paraId="2B1FAD1E" w14:textId="77777777" w:rsidR="00475FED" w:rsidRDefault="00475FED"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0D45" w14:textId="77777777" w:rsidR="0041272E" w:rsidRDefault="0041272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45BED9AE" w14:textId="77777777" w:rsidTr="00F4330E">
      <w:tc>
        <w:tcPr>
          <w:tcW w:w="4531" w:type="dxa"/>
        </w:tcPr>
        <w:p w14:paraId="4D66475E" w14:textId="77777777" w:rsidR="00B67D60" w:rsidRDefault="006622E4" w:rsidP="0092267D">
          <w:pPr>
            <w:pStyle w:val="Topptekst"/>
          </w:pPr>
          <w:r>
            <w:rPr>
              <w:noProof/>
            </w:rPr>
            <w:drawing>
              <wp:anchor distT="0" distB="0" distL="114300" distR="114300" simplePos="0" relativeHeight="251658240" behindDoc="0" locked="1" layoutInCell="1" allowOverlap="1" wp14:anchorId="7060877A" wp14:editId="423A58FE">
                <wp:simplePos x="0" y="0"/>
                <wp:positionH relativeFrom="column">
                  <wp:posOffset>-478790</wp:posOffset>
                </wp:positionH>
                <wp:positionV relativeFrom="page">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67CCC686" w14:textId="77777777" w:rsidR="00B67D60" w:rsidRDefault="00B67D60" w:rsidP="0092267D">
          <w:pPr>
            <w:pStyle w:val="Topptekst"/>
          </w:pPr>
        </w:p>
      </w:tc>
      <w:tc>
        <w:tcPr>
          <w:tcW w:w="4557" w:type="dxa"/>
        </w:tcPr>
        <w:p w14:paraId="35E8F9AB"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45B1C9C4"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99B2B" w14:textId="77777777" w:rsidR="0041272E" w:rsidRDefault="0041272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7687F"/>
    <w:multiLevelType w:val="hybridMultilevel"/>
    <w:tmpl w:val="597E9F4A"/>
    <w:lvl w:ilvl="0" w:tplc="87A66BDC">
      <w:start w:val="16"/>
      <w:numFmt w:val="bullet"/>
      <w:lvlText w:val="-"/>
      <w:lvlJc w:val="left"/>
      <w:pPr>
        <w:ind w:left="720" w:hanging="360"/>
      </w:pPr>
      <w:rPr>
        <w:rFonts w:ascii="Open Sans SemiBold" w:eastAsiaTheme="majorEastAsia" w:hAnsi="Open Sans SemiBold" w:cs="Open Sans SemiBol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C08222E"/>
    <w:multiLevelType w:val="hybridMultilevel"/>
    <w:tmpl w:val="D21E71E0"/>
    <w:lvl w:ilvl="0" w:tplc="2392EE9E">
      <w:start w:val="1"/>
      <w:numFmt w:val="bullet"/>
      <w:lvlText w:val="•"/>
      <w:lvlJc w:val="left"/>
      <w:pPr>
        <w:tabs>
          <w:tab w:val="num" w:pos="720"/>
        </w:tabs>
        <w:ind w:left="720" w:hanging="360"/>
      </w:pPr>
      <w:rPr>
        <w:rFonts w:ascii="Arial" w:hAnsi="Arial" w:hint="default"/>
      </w:rPr>
    </w:lvl>
    <w:lvl w:ilvl="1" w:tplc="D88282F2" w:tentative="1">
      <w:start w:val="1"/>
      <w:numFmt w:val="bullet"/>
      <w:lvlText w:val="•"/>
      <w:lvlJc w:val="left"/>
      <w:pPr>
        <w:tabs>
          <w:tab w:val="num" w:pos="1440"/>
        </w:tabs>
        <w:ind w:left="1440" w:hanging="360"/>
      </w:pPr>
      <w:rPr>
        <w:rFonts w:ascii="Arial" w:hAnsi="Arial" w:hint="default"/>
      </w:rPr>
    </w:lvl>
    <w:lvl w:ilvl="2" w:tplc="E15E8BB6" w:tentative="1">
      <w:start w:val="1"/>
      <w:numFmt w:val="bullet"/>
      <w:lvlText w:val="•"/>
      <w:lvlJc w:val="left"/>
      <w:pPr>
        <w:tabs>
          <w:tab w:val="num" w:pos="2160"/>
        </w:tabs>
        <w:ind w:left="2160" w:hanging="360"/>
      </w:pPr>
      <w:rPr>
        <w:rFonts w:ascii="Arial" w:hAnsi="Arial" w:hint="default"/>
      </w:rPr>
    </w:lvl>
    <w:lvl w:ilvl="3" w:tplc="36B08120" w:tentative="1">
      <w:start w:val="1"/>
      <w:numFmt w:val="bullet"/>
      <w:lvlText w:val="•"/>
      <w:lvlJc w:val="left"/>
      <w:pPr>
        <w:tabs>
          <w:tab w:val="num" w:pos="2880"/>
        </w:tabs>
        <w:ind w:left="2880" w:hanging="360"/>
      </w:pPr>
      <w:rPr>
        <w:rFonts w:ascii="Arial" w:hAnsi="Arial" w:hint="default"/>
      </w:rPr>
    </w:lvl>
    <w:lvl w:ilvl="4" w:tplc="0CF0C6D8" w:tentative="1">
      <w:start w:val="1"/>
      <w:numFmt w:val="bullet"/>
      <w:lvlText w:val="•"/>
      <w:lvlJc w:val="left"/>
      <w:pPr>
        <w:tabs>
          <w:tab w:val="num" w:pos="3600"/>
        </w:tabs>
        <w:ind w:left="3600" w:hanging="360"/>
      </w:pPr>
      <w:rPr>
        <w:rFonts w:ascii="Arial" w:hAnsi="Arial" w:hint="default"/>
      </w:rPr>
    </w:lvl>
    <w:lvl w:ilvl="5" w:tplc="0632280E" w:tentative="1">
      <w:start w:val="1"/>
      <w:numFmt w:val="bullet"/>
      <w:lvlText w:val="•"/>
      <w:lvlJc w:val="left"/>
      <w:pPr>
        <w:tabs>
          <w:tab w:val="num" w:pos="4320"/>
        </w:tabs>
        <w:ind w:left="4320" w:hanging="360"/>
      </w:pPr>
      <w:rPr>
        <w:rFonts w:ascii="Arial" w:hAnsi="Arial" w:hint="default"/>
      </w:rPr>
    </w:lvl>
    <w:lvl w:ilvl="6" w:tplc="21E496CA" w:tentative="1">
      <w:start w:val="1"/>
      <w:numFmt w:val="bullet"/>
      <w:lvlText w:val="•"/>
      <w:lvlJc w:val="left"/>
      <w:pPr>
        <w:tabs>
          <w:tab w:val="num" w:pos="5040"/>
        </w:tabs>
        <w:ind w:left="5040" w:hanging="360"/>
      </w:pPr>
      <w:rPr>
        <w:rFonts w:ascii="Arial" w:hAnsi="Arial" w:hint="default"/>
      </w:rPr>
    </w:lvl>
    <w:lvl w:ilvl="7" w:tplc="2FAC63F6" w:tentative="1">
      <w:start w:val="1"/>
      <w:numFmt w:val="bullet"/>
      <w:lvlText w:val="•"/>
      <w:lvlJc w:val="left"/>
      <w:pPr>
        <w:tabs>
          <w:tab w:val="num" w:pos="5760"/>
        </w:tabs>
        <w:ind w:left="5760" w:hanging="360"/>
      </w:pPr>
      <w:rPr>
        <w:rFonts w:ascii="Arial" w:hAnsi="Arial" w:hint="default"/>
      </w:rPr>
    </w:lvl>
    <w:lvl w:ilvl="8" w:tplc="70FA9A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ED"/>
    <w:rsid w:val="00026B78"/>
    <w:rsid w:val="00054275"/>
    <w:rsid w:val="00060003"/>
    <w:rsid w:val="0006610A"/>
    <w:rsid w:val="000821CE"/>
    <w:rsid w:val="0009096E"/>
    <w:rsid w:val="0009692E"/>
    <w:rsid w:val="000A0ABD"/>
    <w:rsid w:val="000A165E"/>
    <w:rsid w:val="000B5D53"/>
    <w:rsid w:val="000C608D"/>
    <w:rsid w:val="000C70B4"/>
    <w:rsid w:val="000D10BD"/>
    <w:rsid w:val="000D3220"/>
    <w:rsid w:val="000D4F02"/>
    <w:rsid w:val="000E2395"/>
    <w:rsid w:val="001052AB"/>
    <w:rsid w:val="0010666E"/>
    <w:rsid w:val="0012022B"/>
    <w:rsid w:val="001229E8"/>
    <w:rsid w:val="00152746"/>
    <w:rsid w:val="00161275"/>
    <w:rsid w:val="0017704E"/>
    <w:rsid w:val="001B6B54"/>
    <w:rsid w:val="001E53C2"/>
    <w:rsid w:val="001F712E"/>
    <w:rsid w:val="002120D0"/>
    <w:rsid w:val="00223F02"/>
    <w:rsid w:val="00226258"/>
    <w:rsid w:val="00290030"/>
    <w:rsid w:val="00296E34"/>
    <w:rsid w:val="00297386"/>
    <w:rsid w:val="002B202C"/>
    <w:rsid w:val="002B34A6"/>
    <w:rsid w:val="002C7E6F"/>
    <w:rsid w:val="002D1FCB"/>
    <w:rsid w:val="002D7159"/>
    <w:rsid w:val="002F0B66"/>
    <w:rsid w:val="003106D9"/>
    <w:rsid w:val="003261ED"/>
    <w:rsid w:val="00334133"/>
    <w:rsid w:val="003553C4"/>
    <w:rsid w:val="0035664C"/>
    <w:rsid w:val="0039131D"/>
    <w:rsid w:val="003923F7"/>
    <w:rsid w:val="003952A7"/>
    <w:rsid w:val="00397CEC"/>
    <w:rsid w:val="003B22D0"/>
    <w:rsid w:val="003B4C45"/>
    <w:rsid w:val="003D2116"/>
    <w:rsid w:val="003D3685"/>
    <w:rsid w:val="0041272E"/>
    <w:rsid w:val="0043179E"/>
    <w:rsid w:val="0043349A"/>
    <w:rsid w:val="004401AF"/>
    <w:rsid w:val="00447716"/>
    <w:rsid w:val="00452B43"/>
    <w:rsid w:val="004612D0"/>
    <w:rsid w:val="004756CE"/>
    <w:rsid w:val="00475FED"/>
    <w:rsid w:val="00476735"/>
    <w:rsid w:val="004768C5"/>
    <w:rsid w:val="00477F15"/>
    <w:rsid w:val="00481BF4"/>
    <w:rsid w:val="004A5240"/>
    <w:rsid w:val="004B0A25"/>
    <w:rsid w:val="004B0F1A"/>
    <w:rsid w:val="004B70DA"/>
    <w:rsid w:val="004C0403"/>
    <w:rsid w:val="004F0A6B"/>
    <w:rsid w:val="004F6362"/>
    <w:rsid w:val="005066F1"/>
    <w:rsid w:val="005303D9"/>
    <w:rsid w:val="0054339D"/>
    <w:rsid w:val="00577E80"/>
    <w:rsid w:val="00581D56"/>
    <w:rsid w:val="0059616E"/>
    <w:rsid w:val="005A2DD0"/>
    <w:rsid w:val="005B15F9"/>
    <w:rsid w:val="005C4605"/>
    <w:rsid w:val="005D697D"/>
    <w:rsid w:val="005F463D"/>
    <w:rsid w:val="00600844"/>
    <w:rsid w:val="006434E7"/>
    <w:rsid w:val="006622E4"/>
    <w:rsid w:val="00683A2A"/>
    <w:rsid w:val="006965AB"/>
    <w:rsid w:val="006D0E50"/>
    <w:rsid w:val="006D2D6B"/>
    <w:rsid w:val="006F5364"/>
    <w:rsid w:val="007014D3"/>
    <w:rsid w:val="007151FA"/>
    <w:rsid w:val="00742E78"/>
    <w:rsid w:val="00750EDD"/>
    <w:rsid w:val="00767A5C"/>
    <w:rsid w:val="007A1875"/>
    <w:rsid w:val="007B161A"/>
    <w:rsid w:val="007C39CD"/>
    <w:rsid w:val="007C6FE5"/>
    <w:rsid w:val="007D26E4"/>
    <w:rsid w:val="007D2CF7"/>
    <w:rsid w:val="007D7980"/>
    <w:rsid w:val="007E47E4"/>
    <w:rsid w:val="007E573C"/>
    <w:rsid w:val="00812A79"/>
    <w:rsid w:val="00816153"/>
    <w:rsid w:val="00817C11"/>
    <w:rsid w:val="008422A3"/>
    <w:rsid w:val="0087160A"/>
    <w:rsid w:val="008747ED"/>
    <w:rsid w:val="00875E52"/>
    <w:rsid w:val="0087773B"/>
    <w:rsid w:val="00885B0E"/>
    <w:rsid w:val="00894E5F"/>
    <w:rsid w:val="008A051B"/>
    <w:rsid w:val="008A33F5"/>
    <w:rsid w:val="008B20A8"/>
    <w:rsid w:val="008B6D2E"/>
    <w:rsid w:val="008C38E0"/>
    <w:rsid w:val="008D1B84"/>
    <w:rsid w:val="008E50A5"/>
    <w:rsid w:val="00906DA0"/>
    <w:rsid w:val="009163C4"/>
    <w:rsid w:val="0092267D"/>
    <w:rsid w:val="00927029"/>
    <w:rsid w:val="0094104C"/>
    <w:rsid w:val="00992B01"/>
    <w:rsid w:val="009A348B"/>
    <w:rsid w:val="009A3E4D"/>
    <w:rsid w:val="009B43A2"/>
    <w:rsid w:val="009D6A5C"/>
    <w:rsid w:val="009F59A3"/>
    <w:rsid w:val="00A1566C"/>
    <w:rsid w:val="00A2358C"/>
    <w:rsid w:val="00A23FF2"/>
    <w:rsid w:val="00A4506C"/>
    <w:rsid w:val="00A4573A"/>
    <w:rsid w:val="00A47724"/>
    <w:rsid w:val="00A518B6"/>
    <w:rsid w:val="00A5735B"/>
    <w:rsid w:val="00A60E0F"/>
    <w:rsid w:val="00A62C1B"/>
    <w:rsid w:val="00A81FDC"/>
    <w:rsid w:val="00AA6C9D"/>
    <w:rsid w:val="00AB2CA1"/>
    <w:rsid w:val="00AD2850"/>
    <w:rsid w:val="00AD5DB0"/>
    <w:rsid w:val="00AD5DBF"/>
    <w:rsid w:val="00AE6DC5"/>
    <w:rsid w:val="00AF6AB5"/>
    <w:rsid w:val="00B461C3"/>
    <w:rsid w:val="00B61526"/>
    <w:rsid w:val="00B61F58"/>
    <w:rsid w:val="00B67D60"/>
    <w:rsid w:val="00B92241"/>
    <w:rsid w:val="00B94446"/>
    <w:rsid w:val="00BC7265"/>
    <w:rsid w:val="00BE1E47"/>
    <w:rsid w:val="00BE73C1"/>
    <w:rsid w:val="00C03DBC"/>
    <w:rsid w:val="00C04FE9"/>
    <w:rsid w:val="00C35CAE"/>
    <w:rsid w:val="00C42FFC"/>
    <w:rsid w:val="00C5169C"/>
    <w:rsid w:val="00C61CC1"/>
    <w:rsid w:val="00C63A32"/>
    <w:rsid w:val="00CA193F"/>
    <w:rsid w:val="00CB4275"/>
    <w:rsid w:val="00D2429F"/>
    <w:rsid w:val="00D56068"/>
    <w:rsid w:val="00D764FD"/>
    <w:rsid w:val="00D76882"/>
    <w:rsid w:val="00D86658"/>
    <w:rsid w:val="00D95B42"/>
    <w:rsid w:val="00DA66EB"/>
    <w:rsid w:val="00DB4BD3"/>
    <w:rsid w:val="00DE5303"/>
    <w:rsid w:val="00DE714F"/>
    <w:rsid w:val="00E03AAC"/>
    <w:rsid w:val="00E07265"/>
    <w:rsid w:val="00E32123"/>
    <w:rsid w:val="00E612E5"/>
    <w:rsid w:val="00E61B5D"/>
    <w:rsid w:val="00E85FCA"/>
    <w:rsid w:val="00EA2AD4"/>
    <w:rsid w:val="00EB5B6C"/>
    <w:rsid w:val="00EC3515"/>
    <w:rsid w:val="00ED0D91"/>
    <w:rsid w:val="00ED0DC2"/>
    <w:rsid w:val="00ED4605"/>
    <w:rsid w:val="00EF23D6"/>
    <w:rsid w:val="00EF2C47"/>
    <w:rsid w:val="00F01261"/>
    <w:rsid w:val="00F02DC0"/>
    <w:rsid w:val="00F22C69"/>
    <w:rsid w:val="00F3607F"/>
    <w:rsid w:val="00F4330E"/>
    <w:rsid w:val="00F936BE"/>
    <w:rsid w:val="00F94139"/>
    <w:rsid w:val="00FA161D"/>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8411A"/>
  <w15:chartTrackingRefBased/>
  <w15:docId w15:val="{4922B6E5-1B27-4F80-817A-582CD0EE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lang w:val="nn-NO"/>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kart.gislink.no/kart/?viewer=kart" TargetMode="External"/><Relationship Id="rId2" Type="http://schemas.openxmlformats.org/officeDocument/2006/relationships/styles" Target="styles.xml"/><Relationship Id="rId16" Type="http://schemas.openxmlformats.org/officeDocument/2006/relationships/hyperlink" Target="https://geocortex01.miljodirektoratet.no/Html5Viewer/?viewer=naturba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1265</Words>
  <Characters>6708</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Anders</dc:creator>
  <cp:keywords/>
  <dc:description/>
  <cp:lastModifiedBy>Alstad, Eva Dybwad</cp:lastModifiedBy>
  <cp:revision>2</cp:revision>
  <cp:lastPrinted>2021-10-19T12:25:00Z</cp:lastPrinted>
  <dcterms:created xsi:type="dcterms:W3CDTF">2021-10-19T12:54:00Z</dcterms:created>
  <dcterms:modified xsi:type="dcterms:W3CDTF">2021-10-19T12:54:00Z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\\FMFIL01.FYLKESMANNEN.LOCAL\EPHORTEWF\fmtlamo\EPHORTE\1674607_DOCX.XML</vt:lpwstr>
  </property>
  <property fmtid="{D5CDD505-2E9C-101B-9397-08002B2CF9AE}" pid="3" name="CheckInType">
    <vt:lpwstr>FromApplication</vt:lpwstr>
  </property>
  <property fmtid="{D5CDD505-2E9C-101B-9397-08002B2CF9AE}" pid="4" name="CheckInDocForm">
    <vt:lpwstr>https://fmeph6web1.fylkesmannen.local/FMTL/shared/aspx/Default/CheckInDocForm.aspx</vt:lpwstr>
  </property>
  <property fmtid="{D5CDD505-2E9C-101B-9397-08002B2CF9AE}" pid="5" name="DokType">
    <vt:lpwstr/>
  </property>
  <property fmtid="{D5CDD505-2E9C-101B-9397-08002B2CF9AE}" pid="6" name="DokID">
    <vt:i4>1429220</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https%3a%2f%2ffmeph6web1.fylkesmannen.local%2fFMTL%2fshared%2faspx%2fdefault%2fdetails.aspx%3ff%3dViewJP%26JP_ID%3d883481</vt:lpwstr>
  </property>
  <property fmtid="{D5CDD505-2E9C-101B-9397-08002B2CF9AE}" pid="11" name="WindowName">
    <vt:lpwstr>rbottom</vt:lpwstr>
  </property>
  <property fmtid="{D5CDD505-2E9C-101B-9397-08002B2CF9AE}" pid="12" name="FileName">
    <vt:lpwstr>%5c%5cFMFIL01.FYLKESMANNEN.LOCAL%5cEPHORTEWF%5cfmtlamo%5cEPHORTE%5c1674607.DOCX</vt:lpwstr>
  </property>
  <property fmtid="{D5CDD505-2E9C-101B-9397-08002B2CF9AE}" pid="13" name="LinkId">
    <vt:i4>883481</vt:i4>
  </property>
</Properties>
</file>